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D8" w:rsidRPr="0019349E" w:rsidRDefault="00F359D8">
      <w:pPr>
        <w:spacing w:after="0"/>
        <w:jc w:val="center"/>
        <w:rPr>
          <w:rFonts w:asciiTheme="minorHAnsi" w:hAnsiTheme="minorHAnsi"/>
          <w:b/>
          <w:bCs/>
          <w:sz w:val="40"/>
          <w:szCs w:val="24"/>
        </w:rPr>
      </w:pPr>
      <w:bookmarkStart w:id="0" w:name="_GoBack"/>
      <w:bookmarkEnd w:id="0"/>
    </w:p>
    <w:p w:rsidR="00F359D8" w:rsidRDefault="00F359D8">
      <w:pPr>
        <w:spacing w:after="0"/>
        <w:jc w:val="center"/>
        <w:rPr>
          <w:rFonts w:asciiTheme="minorHAnsi" w:hAnsiTheme="minorHAnsi"/>
          <w:b/>
          <w:bCs/>
          <w:sz w:val="40"/>
          <w:szCs w:val="24"/>
        </w:rPr>
      </w:pPr>
    </w:p>
    <w:p w:rsidR="0019349E" w:rsidRDefault="0019349E">
      <w:pPr>
        <w:spacing w:after="0"/>
        <w:jc w:val="center"/>
        <w:rPr>
          <w:rFonts w:asciiTheme="minorHAnsi" w:hAnsiTheme="minorHAnsi"/>
          <w:b/>
          <w:bCs/>
          <w:sz w:val="40"/>
          <w:szCs w:val="24"/>
        </w:rPr>
      </w:pPr>
    </w:p>
    <w:p w:rsidR="0019349E" w:rsidRDefault="0019349E">
      <w:pPr>
        <w:spacing w:after="0"/>
        <w:jc w:val="center"/>
        <w:rPr>
          <w:rFonts w:asciiTheme="minorHAnsi" w:hAnsiTheme="minorHAnsi"/>
          <w:b/>
          <w:bCs/>
          <w:sz w:val="40"/>
          <w:szCs w:val="24"/>
        </w:rPr>
      </w:pPr>
    </w:p>
    <w:p w:rsidR="0019349E" w:rsidRPr="0019349E" w:rsidRDefault="0019349E">
      <w:pPr>
        <w:spacing w:after="0"/>
        <w:jc w:val="center"/>
        <w:rPr>
          <w:rFonts w:asciiTheme="minorHAnsi" w:hAnsiTheme="minorHAnsi"/>
          <w:b/>
          <w:bCs/>
          <w:sz w:val="40"/>
          <w:szCs w:val="24"/>
        </w:rPr>
      </w:pPr>
    </w:p>
    <w:p w:rsidR="00F359D8" w:rsidRPr="00AF710C" w:rsidRDefault="00F359D8">
      <w:pPr>
        <w:spacing w:after="0"/>
        <w:jc w:val="center"/>
        <w:rPr>
          <w:rFonts w:asciiTheme="minorHAnsi" w:hAnsiTheme="minorHAnsi"/>
          <w:sz w:val="36"/>
          <w:szCs w:val="36"/>
        </w:rPr>
      </w:pPr>
      <w:r w:rsidRPr="00AF710C">
        <w:rPr>
          <w:rFonts w:asciiTheme="minorHAnsi" w:hAnsiTheme="minorHAnsi"/>
          <w:b/>
          <w:bCs/>
          <w:sz w:val="36"/>
          <w:szCs w:val="36"/>
        </w:rPr>
        <w:t xml:space="preserve">Zasady naboru </w:t>
      </w:r>
      <w:r w:rsidRPr="00AF710C">
        <w:rPr>
          <w:rFonts w:asciiTheme="minorHAnsi" w:hAnsiTheme="minorHAnsi"/>
          <w:b/>
          <w:sz w:val="36"/>
          <w:szCs w:val="36"/>
        </w:rPr>
        <w:t xml:space="preserve">oraz współpracy z ekspertami </w:t>
      </w:r>
      <w:r w:rsidRPr="00AF710C">
        <w:rPr>
          <w:rFonts w:asciiTheme="minorHAnsi" w:hAnsiTheme="minorHAnsi"/>
          <w:b/>
          <w:color w:val="000000"/>
          <w:sz w:val="36"/>
          <w:szCs w:val="36"/>
        </w:rPr>
        <w:t xml:space="preserve">branżowymi </w:t>
      </w:r>
      <w:r w:rsidR="00AF710C">
        <w:rPr>
          <w:rFonts w:asciiTheme="minorHAnsi" w:hAnsiTheme="minorHAnsi"/>
          <w:b/>
          <w:color w:val="000000"/>
          <w:sz w:val="36"/>
          <w:szCs w:val="36"/>
        </w:rPr>
        <w:br/>
      </w:r>
      <w:r w:rsidR="00AF710C">
        <w:rPr>
          <w:rFonts w:asciiTheme="minorHAnsi" w:hAnsiTheme="minorHAnsi"/>
          <w:b/>
          <w:sz w:val="36"/>
          <w:szCs w:val="36"/>
        </w:rPr>
        <w:t>w ramach</w:t>
      </w:r>
      <w:r w:rsidR="00BD3AE5" w:rsidRPr="00AF710C">
        <w:rPr>
          <w:rFonts w:asciiTheme="minorHAnsi" w:hAnsiTheme="minorHAnsi"/>
          <w:b/>
          <w:sz w:val="36"/>
          <w:szCs w:val="36"/>
        </w:rPr>
        <w:t xml:space="preserve"> </w:t>
      </w:r>
      <w:r w:rsidRPr="00AF710C">
        <w:rPr>
          <w:rFonts w:asciiTheme="minorHAnsi" w:hAnsiTheme="minorHAnsi"/>
          <w:b/>
          <w:sz w:val="36"/>
          <w:szCs w:val="36"/>
        </w:rPr>
        <w:t>Programu Dobry Pomysł</w:t>
      </w: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center"/>
        <w:rPr>
          <w:rFonts w:asciiTheme="minorHAnsi" w:hAnsiTheme="minorHAnsi" w:cs="Times New Roman"/>
          <w:szCs w:val="24"/>
        </w:rPr>
      </w:pPr>
    </w:p>
    <w:p w:rsidR="00F359D8" w:rsidRPr="0019349E" w:rsidRDefault="00F359D8">
      <w:pPr>
        <w:spacing w:before="240" w:after="60"/>
        <w:contextualSpacing/>
        <w:jc w:val="center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E83072" w:rsidRDefault="00E83072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074FCF" w:rsidRPr="0019349E" w:rsidRDefault="00074FCF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19349E" w:rsidRDefault="00F359D8">
      <w:pPr>
        <w:spacing w:before="240" w:after="60"/>
        <w:contextualSpacing/>
        <w:jc w:val="both"/>
        <w:rPr>
          <w:rFonts w:asciiTheme="minorHAnsi" w:hAnsiTheme="minorHAnsi" w:cs="Times New Roman"/>
          <w:b/>
          <w:sz w:val="28"/>
          <w:szCs w:val="24"/>
        </w:rPr>
      </w:pPr>
    </w:p>
    <w:p w:rsidR="00F359D8" w:rsidRPr="00E83072" w:rsidRDefault="00F359D8" w:rsidP="004438A6">
      <w:pPr>
        <w:numPr>
          <w:ilvl w:val="0"/>
          <w:numId w:val="4"/>
        </w:numPr>
        <w:spacing w:before="240" w:after="60"/>
        <w:ind w:left="426" w:firstLine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b/>
          <w:color w:val="000000"/>
        </w:rPr>
        <w:lastRenderedPageBreak/>
        <w:t>Zasady ogólne</w:t>
      </w:r>
    </w:p>
    <w:p w:rsidR="00F359D8" w:rsidRPr="00E83072" w:rsidRDefault="00F359D8" w:rsidP="00B13BF1">
      <w:pPr>
        <w:spacing w:before="240" w:after="60"/>
        <w:contextualSpacing/>
        <w:jc w:val="both"/>
        <w:rPr>
          <w:rFonts w:asciiTheme="minorHAnsi" w:hAnsiTheme="minorHAnsi"/>
        </w:rPr>
      </w:pPr>
    </w:p>
    <w:p w:rsidR="00074FCF" w:rsidRPr="00074FCF" w:rsidRDefault="00DE41D5" w:rsidP="004438A6">
      <w:pPr>
        <w:pStyle w:val="Akapitzlist"/>
        <w:numPr>
          <w:ilvl w:val="0"/>
          <w:numId w:val="5"/>
        </w:numPr>
        <w:spacing w:after="0"/>
        <w:ind w:left="1134" w:hanging="414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pl-PL"/>
        </w:rPr>
        <w:t>D</w:t>
      </w:r>
      <w:r w:rsidR="00F359D8" w:rsidRPr="00E83072">
        <w:rPr>
          <w:rFonts w:asciiTheme="minorHAnsi" w:hAnsiTheme="minorHAnsi"/>
          <w:lang w:eastAsia="pl-PL"/>
        </w:rPr>
        <w:t xml:space="preserve">okument </w:t>
      </w:r>
      <w:r w:rsidR="00F359D8" w:rsidRPr="00E83072">
        <w:rPr>
          <w:rFonts w:asciiTheme="minorHAnsi" w:hAnsiTheme="minorHAnsi"/>
          <w:color w:val="000000"/>
          <w:lang w:eastAsia="pl-PL"/>
        </w:rPr>
        <w:t>określa zasady</w:t>
      </w:r>
      <w:r w:rsidR="00F359D8" w:rsidRPr="00E83072">
        <w:rPr>
          <w:rFonts w:asciiTheme="minorHAnsi" w:hAnsiTheme="minorHAnsi"/>
          <w:lang w:eastAsia="pl-PL"/>
        </w:rPr>
        <w:t xml:space="preserve"> naboru kandydatów na ekspertów w </w:t>
      </w:r>
      <w:r w:rsidR="00F359D8" w:rsidRPr="00E83072">
        <w:rPr>
          <w:rFonts w:asciiTheme="minorHAnsi" w:hAnsiTheme="minorHAnsi"/>
          <w:color w:val="000000"/>
          <w:lang w:eastAsia="pl-PL"/>
        </w:rPr>
        <w:t>ramach Pilotażu Programu Dobry Pomysł, który jest finansowany ze środków</w:t>
      </w:r>
      <w:r w:rsidR="00B13BF1" w:rsidRPr="00E83072">
        <w:rPr>
          <w:rFonts w:asciiTheme="minorHAnsi" w:hAnsiTheme="minorHAnsi"/>
        </w:rPr>
        <w:t xml:space="preserve"> </w:t>
      </w:r>
      <w:r w:rsidR="00F359D8" w:rsidRPr="00E83072">
        <w:rPr>
          <w:rFonts w:asciiTheme="minorHAnsi" w:hAnsiTheme="minorHAnsi"/>
          <w:lang w:eastAsia="pl-PL"/>
        </w:rPr>
        <w:t>poddziałani</w:t>
      </w:r>
      <w:r w:rsidR="00F359D8" w:rsidRPr="00E83072">
        <w:rPr>
          <w:rFonts w:asciiTheme="minorHAnsi" w:hAnsiTheme="minorHAnsi"/>
          <w:color w:val="000000"/>
          <w:lang w:eastAsia="pl-PL"/>
        </w:rPr>
        <w:t>a</w:t>
      </w:r>
      <w:r w:rsidR="00F359D8" w:rsidRPr="00E83072">
        <w:rPr>
          <w:rFonts w:asciiTheme="minorHAnsi" w:hAnsiTheme="minorHAnsi"/>
          <w:lang w:eastAsia="pl-PL"/>
        </w:rPr>
        <w:t xml:space="preserve"> 2.4.1 </w:t>
      </w:r>
      <w:r w:rsidR="00F359D8" w:rsidRPr="00E83072">
        <w:rPr>
          <w:rFonts w:asciiTheme="minorHAnsi" w:hAnsiTheme="minorHAnsi"/>
          <w:i/>
          <w:lang w:eastAsia="pl-PL"/>
        </w:rPr>
        <w:t xml:space="preserve">„Centrum analiz i pilotaży nowych instrumentów – INNO_LAB – </w:t>
      </w:r>
      <w:r w:rsidR="00F359D8" w:rsidRPr="00E83072">
        <w:rPr>
          <w:rFonts w:asciiTheme="minorHAnsi" w:hAnsiTheme="minorHAnsi"/>
          <w:i/>
          <w:color w:val="000000"/>
          <w:lang w:eastAsia="pl-PL"/>
        </w:rPr>
        <w:t>Programu Operacyjnego Inteligentny Rozwój 2014-2020</w:t>
      </w:r>
      <w:r w:rsidR="00F359D8" w:rsidRPr="00E83072">
        <w:rPr>
          <w:rFonts w:asciiTheme="minorHAnsi" w:hAnsiTheme="minorHAnsi"/>
          <w:b/>
          <w:i/>
          <w:color w:val="000000"/>
          <w:lang w:eastAsia="pl-PL"/>
        </w:rPr>
        <w:t xml:space="preserve"> </w:t>
      </w:r>
      <w:r w:rsidR="00F359D8" w:rsidRPr="00E83072">
        <w:rPr>
          <w:rFonts w:asciiTheme="minorHAnsi" w:hAnsiTheme="minorHAnsi"/>
          <w:color w:val="000000"/>
          <w:lang w:eastAsia="pl-PL"/>
        </w:rPr>
        <w:t>oraz przez konsorcjum w składzie Polski Fundusz Rozwoju S.A., INVESTIN sp. z o.o., Fundacja Zaawansowanych Technologii, Fundacja CI FIRE</w:t>
      </w:r>
    </w:p>
    <w:p w:rsidR="00F359D8" w:rsidRPr="00074FCF" w:rsidRDefault="00F359D8" w:rsidP="004438A6">
      <w:pPr>
        <w:pStyle w:val="Akapitzlist"/>
        <w:numPr>
          <w:ilvl w:val="0"/>
          <w:numId w:val="5"/>
        </w:numPr>
        <w:spacing w:after="0"/>
        <w:ind w:left="1134" w:hanging="414"/>
        <w:jc w:val="both"/>
        <w:rPr>
          <w:rFonts w:asciiTheme="minorHAnsi" w:hAnsiTheme="minorHAnsi"/>
        </w:rPr>
      </w:pPr>
      <w:r w:rsidRPr="00074FCF">
        <w:rPr>
          <w:rFonts w:asciiTheme="minorHAnsi" w:hAnsiTheme="minorHAnsi"/>
          <w:color w:val="000000"/>
          <w:lang w:eastAsia="pl-PL"/>
        </w:rPr>
        <w:t xml:space="preserve">Nabór ma za zadanie wyłonienie kandydatów na ekspertów z obszarów objętych Krajowymi Inteligentnymi Specjalizacjami (lista dostępna na stronie internetowej pod adresem: </w:t>
      </w:r>
      <w:hyperlink r:id="rId9" w:history="1">
        <w:r w:rsidRPr="00074FCF">
          <w:rPr>
            <w:rFonts w:asciiTheme="minorHAnsi" w:hAnsiTheme="minorHAnsi"/>
            <w:color w:val="0000FF"/>
            <w:u w:val="single"/>
            <w:lang w:eastAsia="pl-PL"/>
          </w:rPr>
          <w:t>http://smart.gov.pl/pl/specjalizacje</w:t>
        </w:r>
      </w:hyperlink>
      <w:r w:rsidRPr="00074FCF">
        <w:rPr>
          <w:rFonts w:asciiTheme="minorHAnsi" w:hAnsiTheme="minorHAnsi"/>
          <w:color w:val="000000"/>
          <w:lang w:eastAsia="pl-PL"/>
        </w:rPr>
        <w:t>),</w:t>
      </w:r>
      <w:r w:rsidRPr="00074FCF">
        <w:rPr>
          <w:rFonts w:asciiTheme="minorHAnsi" w:hAnsiTheme="minorHAnsi"/>
          <w:b/>
          <w:color w:val="000000"/>
          <w:lang w:eastAsia="pl-PL"/>
        </w:rPr>
        <w:t xml:space="preserve"> </w:t>
      </w:r>
      <w:r w:rsidRPr="00074FCF">
        <w:rPr>
          <w:rFonts w:asciiTheme="minorHAnsi" w:hAnsiTheme="minorHAnsi"/>
          <w:color w:val="000000"/>
          <w:lang w:eastAsia="pl-PL"/>
        </w:rPr>
        <w:t>do świadczenia usług w zakresie</w:t>
      </w:r>
      <w:r w:rsidR="00CF6BF3" w:rsidRPr="00074FCF">
        <w:rPr>
          <w:rFonts w:asciiTheme="minorHAnsi" w:hAnsiTheme="minorHAnsi"/>
          <w:color w:val="000000"/>
        </w:rPr>
        <w:t>:</w:t>
      </w:r>
    </w:p>
    <w:p w:rsidR="00CF6BF3" w:rsidRPr="00074FCF" w:rsidRDefault="00CF6BF3" w:rsidP="004438A6">
      <w:pPr>
        <w:numPr>
          <w:ilvl w:val="0"/>
          <w:numId w:val="3"/>
        </w:numPr>
        <w:spacing w:after="0"/>
        <w:ind w:left="2127" w:hanging="426"/>
        <w:contextualSpacing/>
        <w:jc w:val="both"/>
        <w:rPr>
          <w:rFonts w:asciiTheme="minorHAnsi" w:hAnsiTheme="minorHAnsi"/>
          <w:lang w:eastAsia="pl-PL"/>
        </w:rPr>
      </w:pPr>
      <w:r w:rsidRPr="00E83072">
        <w:rPr>
          <w:rFonts w:asciiTheme="minorHAnsi" w:hAnsiTheme="minorHAnsi"/>
          <w:lang w:eastAsia="pl-PL"/>
        </w:rPr>
        <w:t>oceny merytorycznej pomysłów zgłaszanych przez indywidualnych innowatorów w ramach Programu Dobry Pomysł,</w:t>
      </w:r>
    </w:p>
    <w:p w:rsidR="00CF6BF3" w:rsidRPr="00074FCF" w:rsidRDefault="00CF6BF3" w:rsidP="004438A6">
      <w:pPr>
        <w:numPr>
          <w:ilvl w:val="0"/>
          <w:numId w:val="3"/>
        </w:numPr>
        <w:spacing w:after="0"/>
        <w:ind w:left="2127" w:hanging="426"/>
        <w:contextualSpacing/>
        <w:jc w:val="both"/>
        <w:rPr>
          <w:rFonts w:asciiTheme="minorHAnsi" w:hAnsiTheme="minorHAnsi"/>
          <w:lang w:eastAsia="pl-PL"/>
        </w:rPr>
      </w:pPr>
      <w:r w:rsidRPr="00E83072">
        <w:rPr>
          <w:rFonts w:asciiTheme="minorHAnsi" w:hAnsiTheme="minorHAnsi"/>
          <w:lang w:eastAsia="pl-PL"/>
        </w:rPr>
        <w:t>przygotowania pisemnego uzasadnienia przeprowadzonej oceny,</w:t>
      </w:r>
    </w:p>
    <w:p w:rsidR="00CF6BF3" w:rsidRPr="00074FCF" w:rsidRDefault="00CF6BF3" w:rsidP="004438A6">
      <w:pPr>
        <w:numPr>
          <w:ilvl w:val="0"/>
          <w:numId w:val="3"/>
        </w:numPr>
        <w:spacing w:after="0"/>
        <w:ind w:left="2127" w:hanging="426"/>
        <w:contextualSpacing/>
        <w:jc w:val="both"/>
        <w:rPr>
          <w:rFonts w:asciiTheme="minorHAnsi" w:hAnsiTheme="minorHAnsi"/>
          <w:lang w:eastAsia="pl-PL"/>
        </w:rPr>
      </w:pPr>
      <w:r w:rsidRPr="00E83072">
        <w:rPr>
          <w:rFonts w:asciiTheme="minorHAnsi" w:hAnsiTheme="minorHAnsi"/>
          <w:lang w:eastAsia="pl-PL"/>
        </w:rPr>
        <w:t>rozpatrzenia ewentualnych odwołań od wyników oceny merytorycznej.</w:t>
      </w:r>
    </w:p>
    <w:p w:rsidR="00F359D8" w:rsidRPr="00E83072" w:rsidRDefault="00F359D8" w:rsidP="004438A6">
      <w:pPr>
        <w:numPr>
          <w:ilvl w:val="0"/>
          <w:numId w:val="5"/>
        </w:numPr>
        <w:spacing w:before="120" w:after="0"/>
        <w:ind w:left="1134" w:hanging="41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Za przeprowadzenie naboru kandydatów na ekspertów odpowiadają</w:t>
      </w:r>
      <w:r w:rsidR="00074FCF">
        <w:rPr>
          <w:rFonts w:asciiTheme="minorHAnsi" w:hAnsiTheme="minorHAnsi"/>
        </w:rPr>
        <w:t>:</w:t>
      </w:r>
      <w:r w:rsidRPr="00E83072">
        <w:rPr>
          <w:rFonts w:asciiTheme="minorHAnsi" w:hAnsiTheme="minorHAnsi"/>
        </w:rPr>
        <w:t xml:space="preserve"> INVESTIN sp. z o.o., </w:t>
      </w:r>
      <w:r w:rsidRPr="00E83072">
        <w:rPr>
          <w:rFonts w:asciiTheme="minorHAnsi" w:hAnsiTheme="minorHAnsi"/>
          <w:lang w:eastAsia="pl-PL"/>
        </w:rPr>
        <w:t>Fundacja Zaawansowanych Technologii</w:t>
      </w:r>
      <w:r w:rsidRPr="00E83072">
        <w:rPr>
          <w:rFonts w:asciiTheme="minorHAnsi" w:hAnsiTheme="minorHAnsi"/>
        </w:rPr>
        <w:t xml:space="preserve"> oraz Fundacja CI FIRE</w:t>
      </w:r>
      <w:r w:rsidRPr="00E83072">
        <w:rPr>
          <w:rFonts w:asciiTheme="minorHAnsi" w:hAnsiTheme="minorHAnsi"/>
          <w:color w:val="000000"/>
        </w:rPr>
        <w:t xml:space="preserve">. </w:t>
      </w:r>
    </w:p>
    <w:p w:rsidR="00F359D8" w:rsidRPr="00E83072" w:rsidRDefault="00F359D8" w:rsidP="004438A6">
      <w:pPr>
        <w:numPr>
          <w:ilvl w:val="0"/>
          <w:numId w:val="5"/>
        </w:numPr>
        <w:spacing w:before="120" w:after="0"/>
        <w:ind w:left="1134" w:hanging="41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Informacja o naborze kandydatów na ekspertów publikowana jest:</w:t>
      </w:r>
    </w:p>
    <w:p w:rsidR="00F359D8" w:rsidRPr="00E83072" w:rsidRDefault="00F359D8" w:rsidP="004438A6">
      <w:pPr>
        <w:numPr>
          <w:ilvl w:val="0"/>
          <w:numId w:val="10"/>
        </w:numPr>
        <w:spacing w:after="0"/>
        <w:ind w:left="1843" w:hanging="76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na stronie internetowej pod adresem: </w:t>
      </w:r>
      <w:hyperlink r:id="rId10" w:history="1">
        <w:r w:rsidRPr="00E83072">
          <w:rPr>
            <w:rFonts w:asciiTheme="minorHAnsi" w:hAnsiTheme="minorHAnsi"/>
            <w:color w:val="0000FF"/>
            <w:u w:val="single"/>
            <w:lang w:eastAsia="pl-PL"/>
          </w:rPr>
          <w:t>www.investin.pl</w:t>
        </w:r>
      </w:hyperlink>
      <w:r w:rsidRPr="00E83072">
        <w:rPr>
          <w:rFonts w:asciiTheme="minorHAnsi" w:hAnsiTheme="minorHAnsi"/>
          <w:color w:val="0000FF"/>
          <w:u w:val="single"/>
          <w:lang w:eastAsia="pl-PL"/>
        </w:rPr>
        <w:t>;</w:t>
      </w:r>
    </w:p>
    <w:p w:rsidR="00F359D8" w:rsidRPr="00E83072" w:rsidRDefault="00F359D8" w:rsidP="004438A6">
      <w:pPr>
        <w:numPr>
          <w:ilvl w:val="0"/>
          <w:numId w:val="10"/>
        </w:numPr>
        <w:spacing w:after="0"/>
        <w:ind w:left="1843" w:hanging="76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na stronie internetowej pod adresem: </w:t>
      </w:r>
      <w:hyperlink r:id="rId11" w:history="1">
        <w:r w:rsidRPr="00E83072">
          <w:rPr>
            <w:rFonts w:asciiTheme="minorHAnsi" w:hAnsiTheme="minorHAnsi"/>
            <w:color w:val="0000FF"/>
            <w:u w:val="single"/>
            <w:lang w:eastAsia="pl-PL"/>
          </w:rPr>
          <w:t>www.fzt.org.pl</w:t>
        </w:r>
      </w:hyperlink>
      <w:r w:rsidRPr="00E83072">
        <w:rPr>
          <w:rFonts w:asciiTheme="minorHAnsi" w:hAnsiTheme="minorHAnsi"/>
          <w:lang w:eastAsia="pl-PL"/>
        </w:rPr>
        <w:t xml:space="preserve"> ;</w:t>
      </w:r>
    </w:p>
    <w:p w:rsidR="00F359D8" w:rsidRPr="00E83072" w:rsidRDefault="00F359D8" w:rsidP="004438A6">
      <w:pPr>
        <w:numPr>
          <w:ilvl w:val="0"/>
          <w:numId w:val="10"/>
        </w:numPr>
        <w:spacing w:after="0"/>
        <w:ind w:left="1843" w:hanging="76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na stronie internetowej pod adresem: </w:t>
      </w:r>
      <w:hyperlink r:id="rId12" w:history="1">
        <w:r w:rsidRPr="00E83072">
          <w:rPr>
            <w:rStyle w:val="Hipercze"/>
            <w:rFonts w:asciiTheme="minorHAnsi" w:hAnsiTheme="minorHAnsi" w:cs="Calibri"/>
          </w:rPr>
          <w:t>www.innowacje.org.pl</w:t>
        </w:r>
      </w:hyperlink>
      <w:r w:rsidRPr="00E83072">
        <w:rPr>
          <w:rFonts w:asciiTheme="minorHAnsi" w:hAnsiTheme="minorHAnsi"/>
        </w:rPr>
        <w:t xml:space="preserve"> </w:t>
      </w:r>
    </w:p>
    <w:p w:rsidR="00F359D8" w:rsidRPr="00E83072" w:rsidRDefault="00F359D8" w:rsidP="004438A6">
      <w:pPr>
        <w:numPr>
          <w:ilvl w:val="0"/>
          <w:numId w:val="5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color w:val="000000"/>
          <w:lang w:eastAsia="pl-PL"/>
        </w:rPr>
        <w:t xml:space="preserve">W ramach prowadzonego naboru Konsorcjum tworzy jeden wspólny </w:t>
      </w:r>
      <w:r w:rsidRPr="00E83072">
        <w:rPr>
          <w:rFonts w:asciiTheme="minorHAnsi" w:hAnsiTheme="minorHAnsi"/>
          <w:i/>
          <w:color w:val="000000"/>
          <w:lang w:eastAsia="pl-PL"/>
        </w:rPr>
        <w:t>Wykaz kandydatów na ekspertów</w:t>
      </w:r>
      <w:r w:rsidRPr="00E83072">
        <w:rPr>
          <w:rFonts w:asciiTheme="minorHAnsi" w:hAnsiTheme="minorHAnsi"/>
          <w:color w:val="000000"/>
          <w:lang w:eastAsia="pl-PL"/>
        </w:rPr>
        <w:t xml:space="preserve">, dlatego wniosek o wpis wystarczy złożyć u jednego z podmiotów wymienionych w pkt 3. Wykaz stanowi listę kandydatów na ekspertów ocenionych pozytywnie przez </w:t>
      </w:r>
      <w:r w:rsidR="00CF6BF3" w:rsidRPr="00E83072">
        <w:rPr>
          <w:rFonts w:asciiTheme="minorHAnsi" w:hAnsiTheme="minorHAnsi"/>
          <w:color w:val="000000"/>
          <w:lang w:eastAsia="pl-PL"/>
        </w:rPr>
        <w:t>Konsorcjantów.</w:t>
      </w:r>
      <w:bookmarkStart w:id="1" w:name="_Hlk4934972781111111"/>
      <w:bookmarkEnd w:id="1"/>
    </w:p>
    <w:p w:rsidR="00F359D8" w:rsidRPr="00E83072" w:rsidRDefault="00F359D8" w:rsidP="004438A6">
      <w:pPr>
        <w:numPr>
          <w:ilvl w:val="0"/>
          <w:numId w:val="5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Wystawienie zamówienia na świadczenie usług wszczyna wykonanie świadczenia na zasadach określonych w umowie.</w:t>
      </w:r>
    </w:p>
    <w:p w:rsidR="00F359D8" w:rsidRPr="00E83072" w:rsidRDefault="00F359D8" w:rsidP="004438A6">
      <w:pPr>
        <w:numPr>
          <w:ilvl w:val="0"/>
          <w:numId w:val="5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Ekspert powołany do świadczenia usług, o których </w:t>
      </w:r>
      <w:r w:rsidR="00BC3F12" w:rsidRPr="00E83072">
        <w:rPr>
          <w:rFonts w:asciiTheme="minorHAnsi" w:hAnsiTheme="minorHAnsi"/>
          <w:lang w:eastAsia="pl-PL"/>
        </w:rPr>
        <w:t>mowa w pkt 2</w:t>
      </w:r>
      <w:r w:rsidRPr="00E83072">
        <w:rPr>
          <w:rFonts w:asciiTheme="minorHAnsi" w:hAnsiTheme="minorHAnsi"/>
          <w:lang w:eastAsia="pl-PL"/>
        </w:rPr>
        <w:t xml:space="preserve"> zobowiązany jest do podpisania </w:t>
      </w:r>
      <w:r w:rsidRPr="00E83072">
        <w:rPr>
          <w:rFonts w:asciiTheme="minorHAnsi" w:hAnsiTheme="minorHAnsi"/>
          <w:i/>
          <w:lang w:eastAsia="pl-PL"/>
        </w:rPr>
        <w:t>Oświadczenia o bezstronnoś</w:t>
      </w:r>
      <w:r w:rsidR="00BC3F12" w:rsidRPr="00E83072">
        <w:rPr>
          <w:rFonts w:asciiTheme="minorHAnsi" w:hAnsiTheme="minorHAnsi"/>
          <w:i/>
          <w:lang w:eastAsia="pl-PL"/>
        </w:rPr>
        <w:t xml:space="preserve">ci i </w:t>
      </w:r>
      <w:r w:rsidRPr="00E83072">
        <w:rPr>
          <w:rFonts w:asciiTheme="minorHAnsi" w:hAnsiTheme="minorHAnsi"/>
          <w:i/>
          <w:lang w:eastAsia="pl-PL"/>
        </w:rPr>
        <w:t xml:space="preserve">poufności, </w:t>
      </w:r>
      <w:r w:rsidRPr="00E83072">
        <w:rPr>
          <w:rFonts w:asciiTheme="minorHAnsi" w:hAnsiTheme="minorHAnsi"/>
          <w:lang w:eastAsia="pl-PL"/>
        </w:rPr>
        <w:t>którego wzór stanowi załącznik do odpowiednich regulaminów za każdym razem gdy świadczy usł</w:t>
      </w:r>
      <w:r w:rsidR="00BC3F12" w:rsidRPr="00E83072">
        <w:rPr>
          <w:rFonts w:asciiTheme="minorHAnsi" w:hAnsiTheme="minorHAnsi"/>
          <w:lang w:eastAsia="pl-PL"/>
        </w:rPr>
        <w:t>ugi wymienione w pkt 2</w:t>
      </w:r>
      <w:r w:rsidRPr="00E83072">
        <w:rPr>
          <w:rFonts w:asciiTheme="minorHAnsi" w:hAnsiTheme="minorHAnsi"/>
          <w:lang w:eastAsia="pl-PL"/>
        </w:rPr>
        <w:t>. Oświadczenie dotyczy relacji eksperta z wszystkimi wnioskodawcami biorącymi udział w konkursie. Oświadczenie składane jest pod rygorem odpowiedzialności karnej za składanie fałszywych zeznań. Spełnienie wymagań określonych w powyższych oświadczeniach jest warunkiem niezbędnym do dopuszczenia eksperta do świadczenia usł</w:t>
      </w:r>
      <w:r w:rsidR="00BC3F12" w:rsidRPr="00E83072">
        <w:rPr>
          <w:rFonts w:asciiTheme="minorHAnsi" w:hAnsiTheme="minorHAnsi"/>
          <w:lang w:eastAsia="pl-PL"/>
        </w:rPr>
        <w:t>ug wymienionych w pkt 2</w:t>
      </w:r>
      <w:r w:rsidRPr="00E83072">
        <w:rPr>
          <w:rFonts w:asciiTheme="minorHAnsi" w:hAnsiTheme="minorHAnsi"/>
          <w:lang w:eastAsia="pl-PL"/>
        </w:rPr>
        <w:t xml:space="preserve">. </w:t>
      </w:r>
    </w:p>
    <w:p w:rsidR="00F359D8" w:rsidRPr="00E83072" w:rsidRDefault="006206B2" w:rsidP="004438A6">
      <w:pPr>
        <w:numPr>
          <w:ilvl w:val="0"/>
          <w:numId w:val="5"/>
        </w:numPr>
        <w:spacing w:before="120" w:after="120"/>
        <w:ind w:left="1134" w:hanging="425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Wynagrodzenie przysługujące ekspertom branżowym za należyte wykonanie usługi </w:t>
      </w:r>
      <w:r w:rsidR="009E4887" w:rsidRPr="00E83072">
        <w:rPr>
          <w:rFonts w:asciiTheme="minorHAnsi" w:hAnsiTheme="minorHAnsi"/>
        </w:rPr>
        <w:t>potwierdzone protokołem odbioru zamówienia:</w:t>
      </w:r>
    </w:p>
    <w:p w:rsidR="009E4887" w:rsidRPr="00E83072" w:rsidRDefault="009E4887" w:rsidP="004438A6">
      <w:pPr>
        <w:numPr>
          <w:ilvl w:val="2"/>
          <w:numId w:val="5"/>
        </w:numPr>
        <w:spacing w:before="120" w:after="120"/>
        <w:ind w:left="2127" w:hanging="284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lastRenderedPageBreak/>
        <w:t xml:space="preserve">Za ocenę merytoryczną pomysłu wraz z uzasadnieniem i rozpatrzeniem ewentualnych odwołań zgodnie z informacjami zawartymi w rozdziale IV –  </w:t>
      </w:r>
      <w:r w:rsidRPr="00E83072">
        <w:rPr>
          <w:rFonts w:asciiTheme="minorHAnsi" w:hAnsiTheme="minorHAnsi"/>
          <w:u w:val="single"/>
        </w:rPr>
        <w:t>etap I oceny merytorycznej</w:t>
      </w:r>
      <w:r w:rsidRPr="00E83072">
        <w:rPr>
          <w:rFonts w:asciiTheme="minorHAnsi" w:hAnsiTheme="minorHAnsi"/>
        </w:rPr>
        <w:t>: 280,00 PLN brutto;</w:t>
      </w:r>
    </w:p>
    <w:p w:rsidR="009E4887" w:rsidRPr="00E83072" w:rsidRDefault="009E4887" w:rsidP="004438A6">
      <w:pPr>
        <w:numPr>
          <w:ilvl w:val="2"/>
          <w:numId w:val="5"/>
        </w:numPr>
        <w:spacing w:before="120" w:after="120"/>
        <w:ind w:left="2127" w:hanging="284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Za ocenę merytoryczną pomysłu wraz z uzasadnieniem i rozpatrzeniem ewentualnych odwołań zgodnie z informacjami zawartymi w rozdziale IV – </w:t>
      </w:r>
      <w:r w:rsidRPr="00E83072">
        <w:rPr>
          <w:rFonts w:asciiTheme="minorHAnsi" w:hAnsiTheme="minorHAnsi"/>
          <w:u w:val="single"/>
        </w:rPr>
        <w:t>etap II oceny merytorycznej</w:t>
      </w:r>
      <w:r w:rsidRPr="00E83072">
        <w:rPr>
          <w:rFonts w:asciiTheme="minorHAnsi" w:hAnsiTheme="minorHAnsi"/>
        </w:rPr>
        <w:t>: 370,00 PLN brutto.</w:t>
      </w:r>
    </w:p>
    <w:p w:rsidR="0019349E" w:rsidRPr="00E83072" w:rsidRDefault="00F359D8" w:rsidP="004438A6">
      <w:pPr>
        <w:numPr>
          <w:ilvl w:val="0"/>
          <w:numId w:val="5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color w:val="000000"/>
        </w:rPr>
        <w:t>Nabór kandydatów na ekspertów prowadzony jest w trybie ciągłym, od momentu opublikowania ogłoszenia o naborze kandydatów na ekspertów do czasu publikacji informacji o jego zamknięciu.</w:t>
      </w:r>
      <w:r w:rsidR="0019349E" w:rsidRPr="00E83072">
        <w:rPr>
          <w:rFonts w:asciiTheme="minorHAnsi" w:hAnsiTheme="minorHAnsi"/>
          <w:color w:val="000000"/>
        </w:rPr>
        <w:t xml:space="preserve"> </w:t>
      </w:r>
      <w:r w:rsidR="0019349E" w:rsidRPr="00E83072">
        <w:rPr>
          <w:rFonts w:asciiTheme="minorHAnsi" w:hAnsiTheme="minorHAnsi"/>
          <w:lang w:eastAsia="pl-PL"/>
        </w:rPr>
        <w:t xml:space="preserve">Po umieszczeniu kandydata na eksperta w </w:t>
      </w:r>
      <w:r w:rsidR="0019349E" w:rsidRPr="00E83072">
        <w:rPr>
          <w:rFonts w:asciiTheme="minorHAnsi" w:hAnsiTheme="minorHAnsi"/>
          <w:i/>
          <w:lang w:eastAsia="pl-PL"/>
        </w:rPr>
        <w:t>Wykazie kandydatów na ekspertów</w:t>
      </w:r>
      <w:r w:rsidR="0019349E" w:rsidRPr="00E83072">
        <w:rPr>
          <w:rFonts w:asciiTheme="minorHAnsi" w:hAnsiTheme="minorHAnsi"/>
          <w:lang w:eastAsia="pl-PL"/>
        </w:rPr>
        <w:t xml:space="preserve"> </w:t>
      </w:r>
      <w:r w:rsidR="0019349E" w:rsidRPr="00E83072">
        <w:rPr>
          <w:rFonts w:asciiTheme="minorHAnsi" w:hAnsiTheme="minorHAnsi"/>
          <w:color w:val="000000"/>
          <w:lang w:eastAsia="pl-PL"/>
        </w:rPr>
        <w:t xml:space="preserve">jeden z podmiotów wymienionych w pkt 3 </w:t>
      </w:r>
      <w:r w:rsidR="0019349E" w:rsidRPr="00E83072">
        <w:rPr>
          <w:rFonts w:asciiTheme="minorHAnsi" w:hAnsiTheme="minorHAnsi"/>
          <w:lang w:eastAsia="pl-PL"/>
        </w:rPr>
        <w:t xml:space="preserve">zawiera umowę z Ekspertem na świadczenie usług eksperckich. Zarówno wpis do </w:t>
      </w:r>
      <w:r w:rsidR="0019349E" w:rsidRPr="00E83072">
        <w:rPr>
          <w:rFonts w:asciiTheme="minorHAnsi" w:hAnsiTheme="minorHAnsi"/>
          <w:i/>
          <w:lang w:eastAsia="pl-PL"/>
        </w:rPr>
        <w:t>Wykazu kandydatów na ekspertów</w:t>
      </w:r>
      <w:r w:rsidR="0019349E" w:rsidRPr="00E83072">
        <w:rPr>
          <w:rFonts w:asciiTheme="minorHAnsi" w:hAnsiTheme="minorHAnsi"/>
          <w:lang w:eastAsia="pl-PL"/>
        </w:rPr>
        <w:t xml:space="preserve"> jak i zawarcie umowy nie oznacza obowiązku zlecenia kandydatowi na eksperta świadczenia usług wymienionych w pkt </w:t>
      </w:r>
      <w:r w:rsidR="0019349E" w:rsidRPr="00E83072">
        <w:rPr>
          <w:rFonts w:asciiTheme="minorHAnsi" w:hAnsiTheme="minorHAnsi"/>
          <w:color w:val="000000"/>
          <w:lang w:eastAsia="pl-PL"/>
        </w:rPr>
        <w:t>2</w:t>
      </w:r>
      <w:r w:rsidR="0019349E" w:rsidRPr="00E83072">
        <w:rPr>
          <w:rFonts w:asciiTheme="minorHAnsi" w:hAnsiTheme="minorHAnsi"/>
          <w:lang w:eastAsia="pl-PL"/>
        </w:rPr>
        <w:t xml:space="preserve"> i nie może stanowić dla kandydata na eksperta podstawy do zgłaszania jakichkolwiek roszczeń z tytułu wpisu, w tym roszczeń finansowych za okres oczekiwania.</w:t>
      </w:r>
    </w:p>
    <w:p w:rsidR="0019349E" w:rsidRPr="00E83072" w:rsidRDefault="0019349E" w:rsidP="0019349E">
      <w:pPr>
        <w:pStyle w:val="Akapitzlist"/>
        <w:jc w:val="both"/>
        <w:rPr>
          <w:rFonts w:asciiTheme="minorHAnsi" w:hAnsiTheme="minorHAnsi"/>
        </w:rPr>
      </w:pPr>
    </w:p>
    <w:p w:rsidR="00F359D8" w:rsidRPr="00E83072" w:rsidRDefault="00F359D8">
      <w:pPr>
        <w:spacing w:after="0"/>
        <w:jc w:val="both"/>
        <w:rPr>
          <w:rFonts w:asciiTheme="minorHAnsi" w:hAnsiTheme="minorHAnsi"/>
          <w:b/>
          <w:lang w:eastAsia="pl-PL"/>
        </w:rPr>
      </w:pPr>
    </w:p>
    <w:p w:rsidR="00F359D8" w:rsidRPr="00E83072" w:rsidRDefault="00F359D8" w:rsidP="004438A6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b/>
          <w:lang w:eastAsia="pl-PL"/>
        </w:rPr>
        <w:t>Wymagania dla kandydatów na ekspertów:</w:t>
      </w:r>
    </w:p>
    <w:p w:rsidR="00F359D8" w:rsidRDefault="00F359D8">
      <w:pPr>
        <w:spacing w:after="0"/>
        <w:ind w:left="360"/>
        <w:contextualSpacing/>
        <w:jc w:val="both"/>
        <w:rPr>
          <w:rFonts w:asciiTheme="minorHAnsi" w:hAnsiTheme="minorHAnsi"/>
          <w:b/>
          <w:lang w:eastAsia="pl-PL"/>
        </w:rPr>
      </w:pPr>
    </w:p>
    <w:p w:rsidR="00096B85" w:rsidRPr="00E83072" w:rsidRDefault="00096B85">
      <w:pPr>
        <w:spacing w:after="0"/>
        <w:ind w:left="360"/>
        <w:contextualSpacing/>
        <w:jc w:val="both"/>
        <w:rPr>
          <w:rFonts w:asciiTheme="minorHAnsi" w:hAnsiTheme="minorHAnsi"/>
          <w:b/>
          <w:lang w:eastAsia="pl-PL"/>
        </w:rPr>
      </w:pPr>
    </w:p>
    <w:p w:rsidR="00F359D8" w:rsidRPr="00E83072" w:rsidRDefault="00F359D8">
      <w:pPr>
        <w:spacing w:after="0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Kandydatem na eksperta może zostać osoba, która spełnia  </w:t>
      </w:r>
      <w:r w:rsidRPr="00E83072">
        <w:rPr>
          <w:rFonts w:asciiTheme="minorHAnsi" w:hAnsiTheme="minorHAnsi"/>
          <w:color w:val="000000"/>
          <w:lang w:eastAsia="pl-PL"/>
        </w:rPr>
        <w:t>kryteria</w:t>
      </w:r>
      <w:r w:rsidRPr="00E83072">
        <w:rPr>
          <w:rFonts w:asciiTheme="minorHAnsi" w:hAnsiTheme="minorHAnsi"/>
          <w:lang w:eastAsia="pl-PL"/>
        </w:rPr>
        <w:t xml:space="preserve"> formalne</w:t>
      </w:r>
      <w:r w:rsidRPr="00E83072">
        <w:rPr>
          <w:rFonts w:asciiTheme="minorHAnsi" w:hAnsiTheme="minorHAnsi"/>
          <w:color w:val="000000"/>
          <w:lang w:eastAsia="pl-PL"/>
        </w:rPr>
        <w:t xml:space="preserve"> obligatoryjne</w:t>
      </w:r>
      <w:r w:rsidRPr="00E83072">
        <w:rPr>
          <w:rFonts w:asciiTheme="minorHAnsi" w:hAnsiTheme="minorHAnsi"/>
          <w:lang w:eastAsia="pl-PL"/>
        </w:rPr>
        <w:t xml:space="preserve">,  kryteria szczegółowe </w:t>
      </w:r>
      <w:r w:rsidRPr="00E83072">
        <w:rPr>
          <w:rFonts w:asciiTheme="minorHAnsi" w:hAnsiTheme="minorHAnsi"/>
          <w:color w:val="000000"/>
          <w:lang w:eastAsia="pl-PL"/>
        </w:rPr>
        <w:t xml:space="preserve">obligatoryjne </w:t>
      </w:r>
      <w:r w:rsidR="005319EB" w:rsidRPr="00E83072">
        <w:rPr>
          <w:rFonts w:asciiTheme="minorHAnsi" w:hAnsiTheme="minorHAnsi"/>
          <w:lang w:eastAsia="pl-PL"/>
        </w:rPr>
        <w:t xml:space="preserve">oraz co najmniej 1 </w:t>
      </w:r>
      <w:r w:rsidRPr="00E83072">
        <w:rPr>
          <w:rFonts w:asciiTheme="minorHAnsi" w:hAnsiTheme="minorHAnsi"/>
          <w:lang w:eastAsia="pl-PL"/>
        </w:rPr>
        <w:t>kryterium pożądane.</w:t>
      </w:r>
    </w:p>
    <w:p w:rsidR="00F359D8" w:rsidRPr="00E83072" w:rsidRDefault="00F359D8">
      <w:pPr>
        <w:spacing w:after="0"/>
        <w:jc w:val="both"/>
        <w:rPr>
          <w:rFonts w:asciiTheme="minorHAnsi" w:hAnsiTheme="minorHAnsi"/>
          <w:b/>
          <w:lang w:eastAsia="pl-PL"/>
        </w:rPr>
      </w:pPr>
    </w:p>
    <w:p w:rsidR="00F359D8" w:rsidRPr="00E83072" w:rsidRDefault="00F359D8">
      <w:pPr>
        <w:spacing w:after="0"/>
        <w:jc w:val="both"/>
        <w:rPr>
          <w:rFonts w:asciiTheme="minorHAnsi" w:hAnsiTheme="minorHAnsi"/>
          <w:b/>
          <w:lang w:eastAsia="pl-PL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359D8" w:rsidRPr="00E83072" w:rsidRDefault="00F359D8">
            <w:pPr>
              <w:spacing w:after="0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Kryteria formalne - obligatoryjne</w:t>
            </w:r>
          </w:p>
          <w:p w:rsidR="00F359D8" w:rsidRPr="00E83072" w:rsidRDefault="00F359D8">
            <w:pPr>
              <w:spacing w:after="0"/>
              <w:jc w:val="both"/>
              <w:rPr>
                <w:rFonts w:asciiTheme="minorHAnsi" w:hAnsiTheme="minorHAnsi"/>
                <w:lang w:eastAsia="pl-PL"/>
              </w:rPr>
            </w:pP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6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korzystanie z pełni praw publicznych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6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posiadanie pełnej zdolności do czynności prawnych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6"/>
              </w:numPr>
              <w:tabs>
                <w:tab w:val="left" w:pos="720"/>
              </w:tabs>
              <w:spacing w:after="120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niekaralność prawomocnym wyrokiem za przestępstwo umyślne lub za umyślne przestępstwo skarbowe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6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niepozostawanie w stosunku pracy z </w:t>
            </w:r>
            <w:r w:rsidRPr="00E83072">
              <w:rPr>
                <w:rFonts w:asciiTheme="minorHAnsi" w:hAnsiTheme="minorHAnsi"/>
                <w:color w:val="000000"/>
                <w:lang w:eastAsia="pl-PL"/>
              </w:rPr>
              <w:t>Konsorcjantami odpowiedzialnymi za realizację Programu Dobry Pomysł</w:t>
            </w:r>
            <w:r w:rsidR="0083180A" w:rsidRPr="00E83072">
              <w:rPr>
                <w:rFonts w:asciiTheme="minorHAnsi" w:hAnsiTheme="minorHAnsi"/>
                <w:color w:val="000000"/>
                <w:lang w:eastAsia="pl-PL"/>
              </w:rPr>
              <w:t xml:space="preserve"> oraz </w:t>
            </w:r>
            <w:r w:rsidR="00790234" w:rsidRPr="00790234">
              <w:rPr>
                <w:rFonts w:asciiTheme="minorHAnsi" w:hAnsiTheme="minorHAnsi"/>
                <w:color w:val="000000"/>
                <w:lang w:eastAsia="pl-PL"/>
              </w:rPr>
              <w:t>Departamentami Ministerstwa Rozwoju zaangażowanymi w realizację PO IR 2014-2010, w ramach którego ogłoszono Pilotaż Programu Dobry Pomysł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6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wyrażenie zgody na zamieszczenie danych osobowych w wykazie kandydatów na ekspertów, na liście ekspertów otrzymujących akredytację  oraz na przetwarzanie danych osobowych ujawnionych przez kandydata na eksperta w procesie tworzenia i prowadzenia wykazu kandydatów na ekspertów, a także na potrzeby udziału w wyborze projektów</w:t>
            </w:r>
          </w:p>
        </w:tc>
      </w:tr>
    </w:tbl>
    <w:p w:rsidR="00F359D8" w:rsidRPr="00E83072" w:rsidRDefault="00F359D8" w:rsidP="00E10A6A">
      <w:pPr>
        <w:spacing w:after="0"/>
        <w:jc w:val="both"/>
        <w:rPr>
          <w:rFonts w:asciiTheme="minorHAnsi" w:hAnsiTheme="minorHAnsi"/>
        </w:rPr>
      </w:pPr>
    </w:p>
    <w:p w:rsidR="00F359D8" w:rsidRPr="00E83072" w:rsidRDefault="00F359D8">
      <w:pPr>
        <w:spacing w:after="0"/>
        <w:rPr>
          <w:rFonts w:asciiTheme="minorHAnsi" w:hAnsiTheme="minorHAnsi"/>
          <w:b/>
          <w:lang w:eastAsia="pl-PL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359D8" w:rsidRPr="00E83072" w:rsidRDefault="00F359D8">
            <w:pPr>
              <w:spacing w:after="0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Kryteria szczegółowe - obligatoryjne</w:t>
            </w:r>
          </w:p>
          <w:p w:rsidR="00F359D8" w:rsidRPr="00E83072" w:rsidRDefault="00F359D8">
            <w:pPr>
              <w:spacing w:after="0"/>
              <w:jc w:val="both"/>
              <w:rPr>
                <w:rFonts w:asciiTheme="minorHAnsi" w:hAnsiTheme="minorHAnsi"/>
                <w:lang w:eastAsia="pl-PL"/>
              </w:rPr>
            </w:pP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wykształcenie wyższe (uzyskany tytuł mgr, mgr inż. lub równoważny)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udokumentowana praktyka w </w:t>
            </w:r>
            <w:r w:rsidR="00E10A6A" w:rsidRPr="00E83072">
              <w:rPr>
                <w:rFonts w:asciiTheme="minorHAnsi" w:hAnsiTheme="minorHAnsi"/>
                <w:lang w:eastAsia="pl-PL"/>
              </w:rPr>
              <w:t>obszarze KIS</w:t>
            </w:r>
            <w:r w:rsidRPr="00E83072">
              <w:rPr>
                <w:rFonts w:asciiTheme="minorHAnsi" w:hAnsiTheme="minorHAnsi"/>
                <w:lang w:eastAsia="pl-PL"/>
              </w:rPr>
              <w:t>, do której aplikuje kandydat (przynajmniej 3 letnie – biorąc pod uwagę ostatnie cztery lata – doświadczenie w pracy naukowej w instytucji nau</w:t>
            </w:r>
            <w:r w:rsidR="00E10A6A" w:rsidRPr="00E83072">
              <w:rPr>
                <w:rFonts w:asciiTheme="minorHAnsi" w:hAnsiTheme="minorHAnsi"/>
                <w:lang w:eastAsia="pl-PL"/>
              </w:rPr>
              <w:t>kowej lub badawczo-rozwojowej związanej z KIS</w:t>
            </w:r>
            <w:r w:rsidRPr="00E83072">
              <w:rPr>
                <w:rFonts w:asciiTheme="minorHAnsi" w:hAnsiTheme="minorHAnsi"/>
                <w:lang w:eastAsia="pl-PL"/>
              </w:rPr>
              <w:t xml:space="preserve"> do której aplikuje kandydat </w:t>
            </w:r>
            <w:r w:rsidRPr="00E83072">
              <w:rPr>
                <w:rFonts w:asciiTheme="minorHAnsi" w:hAnsiTheme="minorHAnsi"/>
                <w:u w:val="single"/>
                <w:lang w:eastAsia="pl-PL"/>
              </w:rPr>
              <w:t xml:space="preserve">lub/i </w:t>
            </w:r>
            <w:r w:rsidRPr="00E83072">
              <w:rPr>
                <w:rFonts w:asciiTheme="minorHAnsi" w:hAnsiTheme="minorHAnsi"/>
                <w:lang w:eastAsia="pl-PL"/>
              </w:rPr>
              <w:t xml:space="preserve">przynajmniej pięcioletnie – biorąc pod uwagę ostatnich pięć lat – doświadczenie w pracy w sferze komercyjnej/działalności gospodarczej w </w:t>
            </w:r>
            <w:r w:rsidR="00E10A6A" w:rsidRPr="00E83072">
              <w:rPr>
                <w:rFonts w:asciiTheme="minorHAnsi" w:hAnsiTheme="minorHAnsi"/>
                <w:lang w:eastAsia="pl-PL"/>
              </w:rPr>
              <w:t>obszarze KIS</w:t>
            </w:r>
            <w:r w:rsidRPr="00E83072">
              <w:rPr>
                <w:rFonts w:asciiTheme="minorHAnsi" w:hAnsiTheme="minorHAnsi"/>
                <w:lang w:eastAsia="pl-PL"/>
              </w:rPr>
              <w:t>, do której aplikuje kandydat)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7"/>
              </w:numPr>
              <w:spacing w:after="120"/>
              <w:contextualSpacing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wiedza z zakresu: </w:t>
            </w:r>
          </w:p>
          <w:p w:rsidR="00F359D8" w:rsidRPr="00E83072" w:rsidRDefault="00F359D8" w:rsidP="004438A6">
            <w:pPr>
              <w:numPr>
                <w:ilvl w:val="1"/>
                <w:numId w:val="7"/>
              </w:numPr>
              <w:spacing w:after="120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dyscypliny badawczej do której aplikuje kandydat oraz aktualnego stanu badań i wykorzystania ich w przemyśle </w:t>
            </w:r>
          </w:p>
          <w:p w:rsidR="00F359D8" w:rsidRPr="00E83072" w:rsidRDefault="00F359D8" w:rsidP="004438A6">
            <w:pPr>
              <w:numPr>
                <w:ilvl w:val="1"/>
                <w:numId w:val="7"/>
              </w:numPr>
              <w:spacing w:after="120"/>
              <w:contextualSpacing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prowadzenia prac B+R</w:t>
            </w:r>
          </w:p>
          <w:p w:rsidR="00F359D8" w:rsidRPr="00E83072" w:rsidRDefault="00F359D8" w:rsidP="004438A6">
            <w:pPr>
              <w:numPr>
                <w:ilvl w:val="1"/>
                <w:numId w:val="7"/>
              </w:numPr>
              <w:spacing w:after="120"/>
              <w:contextualSpacing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wdrożenia i komercjalizacji wyników prac B+R (innowacyjnych produktów/technologii)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znajomość nowoczesnych technologii/produktów stosowanych na świecie umożliwiająca ocenę potencjału rynkowego technologii/produktów w branży, do której aplikuje kandydat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7"/>
              </w:numPr>
              <w:spacing w:after="120"/>
              <w:contextualSpacing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znajomość problematyki związanej z innowacyjnością i konkurencyjnością przedsiębiorstw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7"/>
              </w:numPr>
              <w:spacing w:after="120"/>
              <w:contextualSpacing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znajomość problematyki ochrony własności intelektualnej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7"/>
              </w:numPr>
              <w:spacing w:after="120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znajomość realiów gospodarczych i uwarunkowań prawnych w branży, do której aplikuje kandydat</w:t>
            </w:r>
          </w:p>
        </w:tc>
      </w:tr>
    </w:tbl>
    <w:p w:rsidR="00F359D8" w:rsidRPr="00E83072" w:rsidRDefault="00F359D8">
      <w:pPr>
        <w:spacing w:after="0"/>
        <w:rPr>
          <w:rFonts w:asciiTheme="minorHAnsi" w:hAnsiTheme="minorHAnsi"/>
          <w:lang w:eastAsia="pl-PL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9CCFF"/>
            <w:tcMar>
              <w:left w:w="108" w:type="dxa"/>
              <w:right w:w="108" w:type="dxa"/>
            </w:tcMar>
          </w:tcPr>
          <w:p w:rsidR="00F359D8" w:rsidRPr="00E83072" w:rsidRDefault="00F359D8">
            <w:pPr>
              <w:spacing w:after="0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Kryteria pożądane</w:t>
            </w:r>
          </w:p>
          <w:p w:rsidR="00F359D8" w:rsidRPr="00E83072" w:rsidRDefault="00F359D8">
            <w:pPr>
              <w:spacing w:after="0"/>
              <w:jc w:val="both"/>
              <w:rPr>
                <w:rFonts w:asciiTheme="minorHAnsi" w:hAnsiTheme="minorHAnsi"/>
                <w:lang w:eastAsia="pl-PL"/>
              </w:rPr>
            </w:pPr>
          </w:p>
        </w:tc>
      </w:tr>
      <w:tr w:rsidR="00F359D8" w:rsidRPr="00E83072">
        <w:trPr>
          <w:trHeight w:val="371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co najmniej stopień naukowy doktora lub doktora habilitowanego w </w:t>
            </w:r>
            <w:r w:rsidR="00E10A6A" w:rsidRPr="00E83072">
              <w:rPr>
                <w:rFonts w:asciiTheme="minorHAnsi" w:hAnsiTheme="minorHAnsi"/>
                <w:lang w:eastAsia="pl-PL"/>
              </w:rPr>
              <w:t>branży</w:t>
            </w:r>
            <w:r w:rsidRPr="00E83072">
              <w:rPr>
                <w:rFonts w:asciiTheme="minorHAnsi" w:hAnsiTheme="minorHAnsi"/>
                <w:lang w:eastAsia="pl-PL"/>
              </w:rPr>
              <w:t xml:space="preserve"> odpowiadającej tematyce projektu</w:t>
            </w:r>
          </w:p>
        </w:tc>
      </w:tr>
      <w:tr w:rsidR="00F359D8" w:rsidRPr="00E83072">
        <w:trPr>
          <w:trHeight w:val="371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posiadanie nie starszych niż 3 lata certyfikatów lub uprawnień branżowych w zakresie </w:t>
            </w:r>
            <w:r w:rsidR="00B13BF1" w:rsidRPr="00E83072">
              <w:rPr>
                <w:rFonts w:asciiTheme="minorHAnsi" w:hAnsiTheme="minorHAnsi"/>
                <w:lang w:eastAsia="pl-PL"/>
              </w:rPr>
              <w:t>KIS</w:t>
            </w:r>
            <w:r w:rsidRPr="00E83072">
              <w:rPr>
                <w:rFonts w:asciiTheme="minorHAnsi" w:hAnsiTheme="minorHAnsi"/>
                <w:lang w:eastAsia="pl-PL"/>
              </w:rPr>
              <w:t>, do której aplikuje kandydat</w:t>
            </w:r>
          </w:p>
        </w:tc>
      </w:tr>
      <w:tr w:rsidR="00F359D8" w:rsidRPr="00E83072">
        <w:trPr>
          <w:trHeight w:val="703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minimum 3 letnie doświadczenie we wdrażaniu wyników prac badawczo-rozwojowych </w:t>
            </w:r>
            <w:r w:rsidRPr="00E83072">
              <w:rPr>
                <w:rFonts w:asciiTheme="minorHAnsi" w:hAnsiTheme="minorHAnsi"/>
                <w:color w:val="333333"/>
                <w:lang w:eastAsia="pl-PL"/>
              </w:rPr>
              <w:t>(komercjalizacja prawa własności przemysłowej lub inna forma wdrożenia wyników własnych prac B+R);</w:t>
            </w:r>
          </w:p>
        </w:tc>
      </w:tr>
      <w:tr w:rsidR="00F359D8" w:rsidRPr="00E83072">
        <w:trPr>
          <w:trHeight w:val="401"/>
        </w:trPr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doświadczenie w ocenie potencjału komercyjnego projektów przedsięwzięć gospodarczych 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pełnienie funkcji kierowniczej w instytucji otoczenia biznesu lub jednostce naukowej lub w przedsiębiorstwie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>udział w charakterze członka zespołu badawczego lub naukowego lub eksperta w przedsięwzięciach realizowanych na rzecz przedsiębiorstw z danej branży do której aplikuje kandydat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120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lang w:eastAsia="pl-PL"/>
              </w:rPr>
              <w:t xml:space="preserve">udział w charakterze członka zespołu badawczego lub naukowego lub eksperta w realizacji przedsięwzięć badawczych lub naukowych </w:t>
            </w:r>
          </w:p>
        </w:tc>
      </w:tr>
      <w:tr w:rsidR="00F359D8" w:rsidRPr="00E83072">
        <w:tc>
          <w:tcPr>
            <w:tcW w:w="9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:rsidR="00F359D8" w:rsidRPr="00E83072" w:rsidRDefault="00F359D8" w:rsidP="004438A6">
            <w:pPr>
              <w:numPr>
                <w:ilvl w:val="0"/>
                <w:numId w:val="8"/>
              </w:numPr>
              <w:tabs>
                <w:tab w:val="left" w:pos="720"/>
              </w:tabs>
              <w:spacing w:after="0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</w:rPr>
              <w:t xml:space="preserve">Opracowanie w ostatnich trzech latach co najmniej jednej publikacji (autorstwo, współautorstwo, redakcja naukowa) w obszarze związanym ze wskazaną branżą lub </w:t>
            </w:r>
            <w:r w:rsidRPr="00E83072">
              <w:rPr>
                <w:rFonts w:asciiTheme="minorHAnsi" w:hAnsiTheme="minorHAnsi"/>
                <w:color w:val="000000"/>
              </w:rPr>
              <w:t>co najmniej jednej publikacji dotyczącej:</w:t>
            </w:r>
          </w:p>
          <w:p w:rsidR="00F359D8" w:rsidRPr="00096B85" w:rsidRDefault="00F359D8" w:rsidP="004438A6">
            <w:pPr>
              <w:numPr>
                <w:ilvl w:val="0"/>
                <w:numId w:val="12"/>
              </w:numPr>
              <w:spacing w:after="0"/>
              <w:ind w:left="1416" w:hanging="426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color w:val="000000"/>
              </w:rPr>
              <w:t xml:space="preserve">innowacji lub zarządzania innowacjami w różnych sektorach gospodarki </w:t>
            </w:r>
            <w:r w:rsidRPr="00096B85">
              <w:rPr>
                <w:rFonts w:asciiTheme="minorHAnsi" w:hAnsiTheme="minorHAnsi"/>
                <w:color w:val="000000"/>
                <w:u w:val="single"/>
              </w:rPr>
              <w:t>lub</w:t>
            </w:r>
          </w:p>
          <w:p w:rsidR="00F359D8" w:rsidRPr="00096B85" w:rsidRDefault="00F359D8" w:rsidP="004438A6">
            <w:pPr>
              <w:numPr>
                <w:ilvl w:val="0"/>
                <w:numId w:val="12"/>
              </w:numPr>
              <w:spacing w:after="0"/>
              <w:ind w:left="1416" w:hanging="426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color w:val="000000"/>
              </w:rPr>
              <w:t xml:space="preserve">instytucji innowacyjnego biznesu (parki technologiczne, centra transferu technologii, inkubatory technologiczne) </w:t>
            </w:r>
            <w:r w:rsidRPr="00096B85">
              <w:rPr>
                <w:rFonts w:asciiTheme="minorHAnsi" w:hAnsiTheme="minorHAnsi"/>
                <w:color w:val="000000"/>
                <w:u w:val="single"/>
              </w:rPr>
              <w:t xml:space="preserve">lub </w:t>
            </w:r>
          </w:p>
          <w:p w:rsidR="00B13BF1" w:rsidRPr="00096B85" w:rsidRDefault="00F359D8" w:rsidP="004438A6">
            <w:pPr>
              <w:numPr>
                <w:ilvl w:val="0"/>
                <w:numId w:val="12"/>
              </w:numPr>
              <w:spacing w:after="0"/>
              <w:ind w:left="1416" w:hanging="426"/>
              <w:contextualSpacing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color w:val="000000"/>
              </w:rPr>
              <w:t>metod komercjalizacji wyników badań naukowych i technologii</w:t>
            </w:r>
            <w:r w:rsidR="00096B85">
              <w:rPr>
                <w:rFonts w:asciiTheme="minorHAnsi" w:hAnsiTheme="minorHAnsi"/>
              </w:rPr>
              <w:t xml:space="preserve"> </w:t>
            </w:r>
            <w:r w:rsidRPr="00096B85">
              <w:rPr>
                <w:rFonts w:asciiTheme="minorHAnsi" w:hAnsiTheme="minorHAnsi"/>
                <w:color w:val="000000"/>
                <w:u w:val="single"/>
              </w:rPr>
              <w:t>lub</w:t>
            </w:r>
          </w:p>
          <w:p w:rsidR="00F359D8" w:rsidRPr="00E83072" w:rsidRDefault="00F359D8" w:rsidP="004438A6">
            <w:pPr>
              <w:numPr>
                <w:ilvl w:val="0"/>
                <w:numId w:val="12"/>
              </w:numPr>
              <w:spacing w:after="0"/>
              <w:ind w:left="1416" w:hanging="426"/>
              <w:jc w:val="both"/>
              <w:rPr>
                <w:rFonts w:asciiTheme="minorHAnsi" w:hAnsiTheme="minorHAnsi"/>
              </w:rPr>
            </w:pPr>
            <w:r w:rsidRPr="00E83072">
              <w:rPr>
                <w:rFonts w:asciiTheme="minorHAnsi" w:hAnsiTheme="minorHAnsi"/>
                <w:color w:val="000000"/>
              </w:rPr>
              <w:t>metod wyceny innowacyjnych przedsiębiorstw lub technologii</w:t>
            </w:r>
          </w:p>
        </w:tc>
      </w:tr>
    </w:tbl>
    <w:p w:rsidR="00F359D8" w:rsidRPr="00E83072" w:rsidRDefault="00F359D8">
      <w:pPr>
        <w:spacing w:after="0"/>
        <w:jc w:val="both"/>
        <w:rPr>
          <w:rFonts w:asciiTheme="minorHAnsi" w:hAnsiTheme="minorHAnsi"/>
          <w:b/>
          <w:u w:val="single"/>
          <w:lang w:eastAsia="pl-PL"/>
        </w:rPr>
      </w:pPr>
    </w:p>
    <w:p w:rsidR="00B13BF1" w:rsidRPr="00E83072" w:rsidRDefault="00B13BF1">
      <w:pPr>
        <w:spacing w:after="0"/>
        <w:jc w:val="both"/>
        <w:rPr>
          <w:rFonts w:asciiTheme="minorHAnsi" w:hAnsiTheme="minorHAnsi"/>
          <w:b/>
          <w:lang w:eastAsia="pl-PL"/>
        </w:rPr>
      </w:pPr>
    </w:p>
    <w:p w:rsidR="00F359D8" w:rsidRPr="00E83072" w:rsidRDefault="00F359D8" w:rsidP="004438A6">
      <w:pPr>
        <w:keepNext/>
        <w:numPr>
          <w:ilvl w:val="0"/>
          <w:numId w:val="4"/>
        </w:numPr>
        <w:spacing w:before="60" w:after="0"/>
        <w:ind w:left="0" w:firstLine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b/>
          <w:lang w:eastAsia="pl-PL"/>
        </w:rPr>
        <w:t xml:space="preserve">Zasady weryfikacji kandydatów na ekspertów i wpis do </w:t>
      </w:r>
      <w:r w:rsidRPr="00E83072">
        <w:rPr>
          <w:rFonts w:asciiTheme="minorHAnsi" w:hAnsiTheme="minorHAnsi"/>
          <w:b/>
          <w:i/>
          <w:lang w:eastAsia="pl-PL"/>
        </w:rPr>
        <w:t>Wykazu kandydatów na ekspertów</w:t>
      </w:r>
    </w:p>
    <w:p w:rsidR="00F359D8" w:rsidRPr="00E83072" w:rsidRDefault="00F359D8">
      <w:pPr>
        <w:spacing w:after="0"/>
        <w:rPr>
          <w:rFonts w:asciiTheme="minorHAnsi" w:hAnsiTheme="minorHAnsi"/>
          <w:lang w:eastAsia="pl-PL"/>
        </w:rPr>
      </w:pPr>
    </w:p>
    <w:p w:rsidR="00096B85" w:rsidRDefault="00F359D8" w:rsidP="004438A6">
      <w:pPr>
        <w:numPr>
          <w:ilvl w:val="0"/>
          <w:numId w:val="9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u w:val="single"/>
          <w:lang w:eastAsia="pl-PL"/>
        </w:rPr>
        <w:t>Wymagane dokumenty:</w:t>
      </w:r>
      <w:r w:rsidRPr="00E83072">
        <w:rPr>
          <w:rFonts w:asciiTheme="minorHAnsi" w:hAnsiTheme="minorHAnsi"/>
          <w:lang w:eastAsia="pl-PL"/>
        </w:rPr>
        <w:t xml:space="preserve"> </w:t>
      </w:r>
    </w:p>
    <w:p w:rsidR="00096B85" w:rsidRDefault="00F359D8" w:rsidP="004438A6">
      <w:pPr>
        <w:numPr>
          <w:ilvl w:val="0"/>
          <w:numId w:val="13"/>
        </w:numPr>
        <w:spacing w:before="120" w:after="0"/>
        <w:ind w:left="1276" w:hanging="283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wypełniony wniosek o wpis do </w:t>
      </w:r>
      <w:r w:rsidRPr="00E83072">
        <w:rPr>
          <w:rFonts w:asciiTheme="minorHAnsi" w:hAnsiTheme="minorHAnsi"/>
          <w:i/>
          <w:lang w:eastAsia="pl-PL"/>
        </w:rPr>
        <w:t>Wykazu kandydatów na ekspertów</w:t>
      </w:r>
      <w:r w:rsidRPr="00E83072">
        <w:rPr>
          <w:rFonts w:asciiTheme="minorHAnsi" w:hAnsiTheme="minorHAnsi"/>
          <w:lang w:eastAsia="pl-PL"/>
        </w:rPr>
        <w:t xml:space="preserve">, </w:t>
      </w:r>
    </w:p>
    <w:p w:rsidR="009B4C37" w:rsidRDefault="00F359D8" w:rsidP="004438A6">
      <w:pPr>
        <w:numPr>
          <w:ilvl w:val="0"/>
          <w:numId w:val="13"/>
        </w:numPr>
        <w:spacing w:before="120" w:after="0"/>
        <w:ind w:left="1276" w:hanging="283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dokumen</w:t>
      </w:r>
      <w:r w:rsidR="00947A69">
        <w:rPr>
          <w:rFonts w:asciiTheme="minorHAnsi" w:hAnsiTheme="minorHAnsi"/>
        </w:rPr>
        <w:t xml:space="preserve">ty w formie cyfrowej </w:t>
      </w:r>
      <w:r w:rsidRPr="00E83072">
        <w:rPr>
          <w:rFonts w:asciiTheme="minorHAnsi" w:hAnsiTheme="minorHAnsi"/>
        </w:rPr>
        <w:t xml:space="preserve"> potwierdzają</w:t>
      </w:r>
      <w:r w:rsidR="00947A69">
        <w:rPr>
          <w:rFonts w:asciiTheme="minorHAnsi" w:hAnsiTheme="minorHAnsi"/>
        </w:rPr>
        <w:t>ce</w:t>
      </w:r>
      <w:r w:rsidRPr="00E83072">
        <w:rPr>
          <w:rFonts w:asciiTheme="minorHAnsi" w:hAnsiTheme="minorHAnsi"/>
        </w:rPr>
        <w:t xml:space="preserve"> spełnienie wymogów dotyczących posiadanej wiedzy, umiejętności, doświadczenia zawodowego lub wymaganych uprawnień w zakresie/dziedzinie do której aplikuje</w:t>
      </w:r>
      <w:r w:rsidR="009B4C37">
        <w:rPr>
          <w:rFonts w:asciiTheme="minorHAnsi" w:hAnsiTheme="minorHAnsi"/>
        </w:rPr>
        <w:t>:</w:t>
      </w:r>
    </w:p>
    <w:p w:rsidR="009B4C37" w:rsidRPr="00BC3E92" w:rsidRDefault="009B4C37" w:rsidP="00BC3E92">
      <w:pPr>
        <w:numPr>
          <w:ilvl w:val="0"/>
          <w:numId w:val="22"/>
        </w:numPr>
        <w:spacing w:before="120" w:after="0"/>
        <w:jc w:val="both"/>
        <w:rPr>
          <w:rFonts w:asciiTheme="minorHAnsi" w:hAnsiTheme="minorHAnsi"/>
        </w:rPr>
      </w:pPr>
      <w:r w:rsidRPr="009B4C37">
        <w:rPr>
          <w:rFonts w:hAnsi="Calibri"/>
          <w:lang w:eastAsia="pl-PL"/>
        </w:rPr>
        <w:t>przynajmniej 3 letnie – biorąc pod uwagę ostatnie cztery lata – doświadczenie w pracy naukowej w instytucji naukowej lub badawczo-rozwojowej związanej z KIS do której aplikuje kandydat</w:t>
      </w:r>
      <w:r>
        <w:rPr>
          <w:rFonts w:hAnsi="Calibri"/>
          <w:lang w:eastAsia="pl-PL"/>
        </w:rPr>
        <w:t xml:space="preserve"> (np. skany dokumentów, link do bazy PBN, link do bazy patentów etc.)</w:t>
      </w:r>
    </w:p>
    <w:p w:rsidR="009B4C37" w:rsidRPr="00BC3E92" w:rsidRDefault="009B4C37" w:rsidP="00BC3E92">
      <w:pPr>
        <w:spacing w:before="120" w:after="0"/>
        <w:ind w:left="1776"/>
        <w:jc w:val="both"/>
        <w:rPr>
          <w:rFonts w:asciiTheme="minorHAnsi" w:hAnsiTheme="minorHAnsi"/>
        </w:rPr>
      </w:pPr>
      <w:r>
        <w:rPr>
          <w:rFonts w:hAnsi="Calibri"/>
          <w:lang w:eastAsia="pl-PL"/>
        </w:rPr>
        <w:t>lub</w:t>
      </w:r>
    </w:p>
    <w:p w:rsidR="00096B85" w:rsidRDefault="009B4C37" w:rsidP="00BC3E92">
      <w:pPr>
        <w:numPr>
          <w:ilvl w:val="0"/>
          <w:numId w:val="22"/>
        </w:numPr>
        <w:spacing w:before="120" w:after="0"/>
        <w:jc w:val="both"/>
        <w:rPr>
          <w:rFonts w:asciiTheme="minorHAnsi" w:hAnsiTheme="minorHAnsi"/>
        </w:rPr>
      </w:pPr>
      <w:r w:rsidRPr="009B4C37">
        <w:rPr>
          <w:rFonts w:hAnsi="Calibri"/>
          <w:lang w:eastAsia="pl-PL"/>
        </w:rPr>
        <w:t>przynajmniej pięcioletnie – biorąc pod uwagę ostatnich pięć lat – doświadczenie w pracy w sferze komercyjnej/działalności gospodarczej w obszarze KIS, do której aplikuje kandydat)</w:t>
      </w:r>
      <w:r w:rsidR="00F359D8" w:rsidRPr="00E83072">
        <w:rPr>
          <w:rFonts w:asciiTheme="minorHAnsi" w:hAnsiTheme="minorHAnsi"/>
        </w:rPr>
        <w:t>,</w:t>
      </w:r>
      <w:r w:rsidRPr="009B4C37">
        <w:rPr>
          <w:rFonts w:asciiTheme="minorHAnsi" w:hAnsiTheme="minorHAnsi"/>
        </w:rPr>
        <w:t xml:space="preserve"> </w:t>
      </w:r>
      <w:r w:rsidRPr="009B4C37">
        <w:rPr>
          <w:rFonts w:hAnsi="Calibri"/>
        </w:rPr>
        <w:t>(np. skan</w:t>
      </w:r>
      <w:r>
        <w:rPr>
          <w:rFonts w:hAnsi="Calibri"/>
        </w:rPr>
        <w:t>y dokumentów</w:t>
      </w:r>
      <w:r w:rsidRPr="009B4C37">
        <w:rPr>
          <w:rFonts w:hAnsi="Calibri"/>
        </w:rPr>
        <w:t>, link do KRS, bazy patentów etc. )</w:t>
      </w:r>
    </w:p>
    <w:p w:rsidR="00096B85" w:rsidRDefault="00F359D8" w:rsidP="00096B85">
      <w:pPr>
        <w:spacing w:before="120" w:after="0"/>
        <w:ind w:left="1276"/>
        <w:jc w:val="both"/>
        <w:rPr>
          <w:rFonts w:asciiTheme="minorHAnsi" w:hAnsiTheme="minorHAnsi"/>
        </w:rPr>
      </w:pPr>
      <w:r w:rsidRPr="00096B85">
        <w:rPr>
          <w:rFonts w:asciiTheme="minorHAnsi" w:hAnsiTheme="minorHAnsi"/>
          <w:u w:val="single"/>
        </w:rPr>
        <w:t>fakultatywnie:</w:t>
      </w:r>
    </w:p>
    <w:p w:rsidR="00F359D8" w:rsidRPr="00096B85" w:rsidRDefault="00F359D8" w:rsidP="004438A6">
      <w:pPr>
        <w:numPr>
          <w:ilvl w:val="0"/>
          <w:numId w:val="13"/>
        </w:numPr>
        <w:spacing w:before="120" w:after="0"/>
        <w:ind w:left="1276" w:hanging="283"/>
        <w:jc w:val="both"/>
        <w:rPr>
          <w:rFonts w:asciiTheme="minorHAnsi" w:hAnsiTheme="minorHAnsi"/>
        </w:rPr>
      </w:pPr>
      <w:r w:rsidRPr="00096B85">
        <w:rPr>
          <w:rFonts w:asciiTheme="minorHAnsi" w:hAnsiTheme="minorHAnsi"/>
          <w:lang w:eastAsia="pl-PL"/>
        </w:rPr>
        <w:t>pisemna rekomendacja instytucji/organizacji, z którą kandydat na eksperta współpracował lub współpracuje (wskazująca czas i zakres współpracy) w zakresie tematycznie związanym z dziedziną, do której aplikuje kandydat na eksperta, np.: rekomendacja pracodawcy/zleceniodawcy, szkoły wyższej, itp. Zgłoszenie wraz z kserokopiami dokumentów należy przesłać na adres poczty elektronicznej:</w:t>
      </w:r>
    </w:p>
    <w:p w:rsidR="00141F99" w:rsidRDefault="00667B8D" w:rsidP="00141F99">
      <w:pPr>
        <w:shd w:val="clear" w:color="auto" w:fill="FFFFFF"/>
        <w:spacing w:before="100" w:beforeAutospacing="1" w:after="100" w:afterAutospacing="1" w:line="240" w:lineRule="auto"/>
        <w:ind w:left="1134" w:firstLine="142"/>
        <w:jc w:val="both"/>
        <w:rPr>
          <w:rFonts w:asciiTheme="minorHAnsi" w:hAnsiTheme="minorHAnsi"/>
          <w:iCs/>
          <w:lang w:eastAsia="ar-SA"/>
        </w:rPr>
      </w:pPr>
      <w:hyperlink r:id="rId13" w:history="1">
        <w:r w:rsidRPr="00667B8D">
          <w:rPr>
            <w:rStyle w:val="Hipercze"/>
            <w:rFonts w:asciiTheme="minorHAnsi" w:hAnsiTheme="minorHAnsi" w:cs="Calibri"/>
            <w:iCs/>
            <w:lang w:eastAsia="ar-SA"/>
          </w:rPr>
          <w:t>eksperci@dobrypomysł.org.pl</w:t>
        </w:r>
      </w:hyperlink>
      <w:r w:rsidR="00096B85">
        <w:rPr>
          <w:rFonts w:asciiTheme="minorHAnsi" w:hAnsiTheme="minorHAnsi"/>
          <w:iCs/>
          <w:lang w:eastAsia="ar-SA"/>
        </w:rPr>
        <w:t xml:space="preserve"> </w:t>
      </w:r>
    </w:p>
    <w:p w:rsidR="00F359D8" w:rsidRPr="00096B85" w:rsidRDefault="00CF6BF3" w:rsidP="00141F99">
      <w:pPr>
        <w:shd w:val="clear" w:color="auto" w:fill="FFFFFF"/>
        <w:spacing w:before="100" w:beforeAutospacing="1" w:after="100" w:afterAutospacing="1" w:line="240" w:lineRule="auto"/>
        <w:ind w:left="1134" w:firstLine="142"/>
        <w:jc w:val="both"/>
        <w:rPr>
          <w:rFonts w:asciiTheme="minorHAnsi" w:hAnsiTheme="minorHAnsi"/>
          <w:iCs/>
          <w:lang w:eastAsia="ar-SA"/>
        </w:rPr>
      </w:pPr>
      <w:r w:rsidRPr="00E83072">
        <w:rPr>
          <w:rFonts w:asciiTheme="minorHAnsi" w:hAnsiTheme="minorHAnsi"/>
          <w:bCs/>
          <w:iCs/>
          <w:lang w:eastAsia="ar-SA"/>
        </w:rPr>
        <w:t xml:space="preserve">z tytułem maila </w:t>
      </w:r>
      <w:r w:rsidRPr="00E83072">
        <w:rPr>
          <w:rFonts w:asciiTheme="minorHAnsi" w:hAnsiTheme="minorHAnsi"/>
          <w:bCs/>
          <w:i/>
          <w:iCs/>
          <w:lang w:eastAsia="ar-SA"/>
        </w:rPr>
        <w:t xml:space="preserve"> „Nabór kandydatów na ekspertów”.</w:t>
      </w:r>
    </w:p>
    <w:p w:rsidR="00F359D8" w:rsidRPr="00E83072" w:rsidRDefault="00F359D8" w:rsidP="004438A6">
      <w:pPr>
        <w:numPr>
          <w:ilvl w:val="0"/>
          <w:numId w:val="9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Konsorcjanci</w:t>
      </w:r>
      <w:r w:rsidR="00B13BF1" w:rsidRPr="00E83072">
        <w:rPr>
          <w:rFonts w:asciiTheme="minorHAnsi" w:hAnsiTheme="minorHAnsi"/>
          <w:lang w:eastAsia="pl-PL"/>
        </w:rPr>
        <w:t xml:space="preserve"> </w:t>
      </w:r>
      <w:r w:rsidRPr="00E83072">
        <w:rPr>
          <w:rFonts w:asciiTheme="minorHAnsi" w:hAnsiTheme="minorHAnsi"/>
          <w:lang w:eastAsia="pl-PL"/>
        </w:rPr>
        <w:t>dokonują weryfikacji dokumentów, złożonych w odpowiedzi na ogłoszenie o naborze pod kątem spełniania przez kandydatów wymagań formalnych - obligatoryjnych, kryteriów szczegółowych - obligatoryjnych oraz pożądanych. Zgłoszenia kandydatów na ekspertów oceniane są na bieżąco. Po dokonaniu weryfikacji sporządzona zostaje wykaz</w:t>
      </w:r>
      <w:r w:rsidR="00B13BF1" w:rsidRPr="00E83072">
        <w:rPr>
          <w:rFonts w:asciiTheme="minorHAnsi" w:hAnsiTheme="minorHAnsi"/>
          <w:lang w:eastAsia="pl-PL"/>
        </w:rPr>
        <w:t xml:space="preserve"> </w:t>
      </w:r>
      <w:r w:rsidRPr="00E83072">
        <w:rPr>
          <w:rFonts w:asciiTheme="minorHAnsi" w:hAnsiTheme="minorHAnsi"/>
          <w:lang w:eastAsia="pl-PL"/>
        </w:rPr>
        <w:t>kandydatów na ekspertów spełniających wymagania.</w:t>
      </w:r>
    </w:p>
    <w:p w:rsidR="00F359D8" w:rsidRPr="00E83072" w:rsidRDefault="00F359D8" w:rsidP="004438A6">
      <w:pPr>
        <w:numPr>
          <w:ilvl w:val="0"/>
          <w:numId w:val="9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i/>
          <w:lang w:eastAsia="pl-PL"/>
        </w:rPr>
        <w:t>Wykaz kandydatów na ekspertów</w:t>
      </w:r>
      <w:r w:rsidRPr="00E83072">
        <w:rPr>
          <w:rFonts w:asciiTheme="minorHAnsi" w:hAnsiTheme="minorHAnsi"/>
          <w:lang w:eastAsia="pl-PL"/>
        </w:rPr>
        <w:t xml:space="preserve"> obejmuje następujące dane kandydata na eksperta:</w:t>
      </w:r>
    </w:p>
    <w:p w:rsidR="00F359D8" w:rsidRPr="00E83072" w:rsidRDefault="00F359D8" w:rsidP="004438A6">
      <w:pPr>
        <w:numPr>
          <w:ilvl w:val="1"/>
          <w:numId w:val="11"/>
        </w:numPr>
        <w:spacing w:after="0"/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imię i nazwisko,</w:t>
      </w:r>
    </w:p>
    <w:p w:rsidR="00F359D8" w:rsidRPr="00E83072" w:rsidRDefault="00F359D8" w:rsidP="004438A6">
      <w:pPr>
        <w:numPr>
          <w:ilvl w:val="1"/>
          <w:numId w:val="11"/>
        </w:numPr>
        <w:spacing w:after="0"/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adres poczty elektronicznej,</w:t>
      </w:r>
    </w:p>
    <w:p w:rsidR="00F359D8" w:rsidRPr="00E83072" w:rsidRDefault="00F359D8" w:rsidP="004438A6">
      <w:pPr>
        <w:numPr>
          <w:ilvl w:val="1"/>
          <w:numId w:val="11"/>
        </w:numPr>
        <w:spacing w:after="0"/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zakres/dziedzinę objętą </w:t>
      </w:r>
      <w:r w:rsidR="00A54F46">
        <w:rPr>
          <w:rFonts w:asciiTheme="minorHAnsi" w:hAnsiTheme="minorHAnsi"/>
          <w:lang w:eastAsia="pl-PL"/>
        </w:rPr>
        <w:t>KIS</w:t>
      </w:r>
      <w:r w:rsidRPr="00E83072">
        <w:rPr>
          <w:rFonts w:asciiTheme="minorHAnsi" w:hAnsiTheme="minorHAnsi"/>
          <w:lang w:eastAsia="pl-PL"/>
        </w:rPr>
        <w:t>, w ramach której kandydat na eksperta posiada wiedzę, umiejętnoś</w:t>
      </w:r>
      <w:r w:rsidR="00CF6BF3" w:rsidRPr="00E83072">
        <w:rPr>
          <w:rFonts w:asciiTheme="minorHAnsi" w:hAnsiTheme="minorHAnsi"/>
          <w:lang w:eastAsia="pl-PL"/>
        </w:rPr>
        <w:t xml:space="preserve">ci, </w:t>
      </w:r>
      <w:r w:rsidRPr="00E83072">
        <w:rPr>
          <w:rFonts w:asciiTheme="minorHAnsi" w:hAnsiTheme="minorHAnsi"/>
          <w:lang w:eastAsia="pl-PL"/>
        </w:rPr>
        <w:t>doświadczenie lub wymagane uprawnienia.</w:t>
      </w:r>
    </w:p>
    <w:p w:rsidR="00F359D8" w:rsidRPr="00E83072" w:rsidRDefault="00F359D8" w:rsidP="004438A6">
      <w:pPr>
        <w:numPr>
          <w:ilvl w:val="0"/>
          <w:numId w:val="9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Administratorem bazy danych</w:t>
      </w:r>
      <w:r w:rsidR="00E465C0" w:rsidRPr="00E83072">
        <w:rPr>
          <w:rFonts w:asciiTheme="minorHAnsi" w:hAnsiTheme="minorHAnsi"/>
          <w:lang w:eastAsia="pl-PL"/>
        </w:rPr>
        <w:t xml:space="preserve"> (</w:t>
      </w:r>
      <w:r w:rsidR="00E465C0" w:rsidRPr="00E83072">
        <w:rPr>
          <w:rFonts w:asciiTheme="minorHAnsi" w:hAnsiTheme="minorHAnsi"/>
          <w:i/>
          <w:lang w:eastAsia="pl-PL"/>
        </w:rPr>
        <w:t>Wykazu kandydatów na ekspertów)</w:t>
      </w:r>
      <w:r w:rsidRPr="00E83072">
        <w:rPr>
          <w:rFonts w:asciiTheme="minorHAnsi" w:hAnsiTheme="minorHAnsi"/>
          <w:lang w:eastAsia="pl-PL"/>
        </w:rPr>
        <w:t xml:space="preserve"> zawierających dane osobowe kandydatów jest Polski Fundusz Rozwoju </w:t>
      </w:r>
      <w:r w:rsidR="00E465C0" w:rsidRPr="00E83072">
        <w:rPr>
          <w:rFonts w:asciiTheme="minorHAnsi" w:hAnsiTheme="minorHAnsi"/>
          <w:lang w:eastAsia="pl-PL"/>
        </w:rPr>
        <w:t xml:space="preserve">S.A. </w:t>
      </w:r>
      <w:r w:rsidRPr="00E83072">
        <w:rPr>
          <w:rFonts w:asciiTheme="minorHAnsi" w:hAnsiTheme="minorHAnsi"/>
          <w:lang w:eastAsia="pl-PL"/>
        </w:rPr>
        <w:t xml:space="preserve">z siedzibą przy: ul. Książęcej 4, 00-498 Warszawa. Dane osobowe zawarte w dokumentach aplikacyjnych gromadzone są i przetwarzane </w:t>
      </w:r>
      <w:r w:rsidR="00B13BF1" w:rsidRPr="00E83072">
        <w:rPr>
          <w:rFonts w:asciiTheme="minorHAnsi" w:hAnsiTheme="minorHAnsi"/>
        </w:rPr>
        <w:t xml:space="preserve"> </w:t>
      </w:r>
      <w:r w:rsidRPr="00E83072">
        <w:rPr>
          <w:rFonts w:asciiTheme="minorHAnsi" w:hAnsiTheme="minorHAnsi"/>
          <w:lang w:eastAsia="pl-PL"/>
        </w:rPr>
        <w:t xml:space="preserve">w celu przeprowadzenia procesu naboru oraz wpisu do </w:t>
      </w:r>
      <w:r w:rsidRPr="00E83072">
        <w:rPr>
          <w:rFonts w:asciiTheme="minorHAnsi" w:hAnsiTheme="minorHAnsi"/>
          <w:i/>
          <w:lang w:eastAsia="pl-PL"/>
        </w:rPr>
        <w:t>Wykazu kandydatów na ekspertów</w:t>
      </w:r>
      <w:r w:rsidRPr="00E83072">
        <w:rPr>
          <w:rFonts w:asciiTheme="minorHAnsi" w:hAnsiTheme="minorHAnsi"/>
          <w:lang w:eastAsia="pl-PL"/>
        </w:rPr>
        <w:t xml:space="preserve">. Kandydaci mają prawo do wglądu do swoich danych, poprawiania ich </w:t>
      </w:r>
      <w:r w:rsidR="00B13BF1" w:rsidRPr="00E83072">
        <w:rPr>
          <w:rFonts w:asciiTheme="minorHAnsi" w:hAnsiTheme="minorHAnsi"/>
        </w:rPr>
        <w:t xml:space="preserve"> </w:t>
      </w:r>
      <w:r w:rsidRPr="00E83072">
        <w:rPr>
          <w:rFonts w:asciiTheme="minorHAnsi" w:hAnsiTheme="minorHAnsi"/>
          <w:lang w:eastAsia="pl-PL"/>
        </w:rPr>
        <w:t>i uzupełniania. Podstawą prawną przetwarzania danych osobowych jest ustawa z dnia 11 lipca 2014 r. o zasadach realizacji programów w zakresie polityki spójności finansowanych w perspektywie finansowej 2014-2020.</w:t>
      </w:r>
    </w:p>
    <w:p w:rsidR="00F359D8" w:rsidRPr="00E83072" w:rsidRDefault="00F359D8">
      <w:pPr>
        <w:spacing w:before="120" w:after="0"/>
        <w:ind w:left="1440"/>
        <w:jc w:val="both"/>
        <w:rPr>
          <w:rFonts w:asciiTheme="minorHAnsi" w:hAnsiTheme="minorHAnsi"/>
        </w:rPr>
      </w:pPr>
    </w:p>
    <w:p w:rsidR="00F359D8" w:rsidRPr="00E83072" w:rsidRDefault="00F359D8">
      <w:pPr>
        <w:spacing w:after="0"/>
        <w:jc w:val="both"/>
        <w:rPr>
          <w:rFonts w:asciiTheme="minorHAnsi" w:hAnsiTheme="minorHAnsi"/>
          <w:b/>
          <w:lang w:eastAsia="pl-PL"/>
        </w:rPr>
      </w:pPr>
    </w:p>
    <w:p w:rsidR="00F359D8" w:rsidRPr="00E83072" w:rsidRDefault="00F359D8" w:rsidP="004438A6">
      <w:pPr>
        <w:numPr>
          <w:ilvl w:val="0"/>
          <w:numId w:val="4"/>
        </w:numPr>
        <w:ind w:left="0" w:firstLine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b/>
        </w:rPr>
        <w:t xml:space="preserve">Zasady i tryb współpracy z ekspertami </w:t>
      </w:r>
      <w:r w:rsidR="002B3093" w:rsidRPr="00E83072">
        <w:rPr>
          <w:rFonts w:asciiTheme="minorHAnsi" w:hAnsiTheme="minorHAnsi"/>
          <w:b/>
        </w:rPr>
        <w:t>branżowymi</w:t>
      </w:r>
    </w:p>
    <w:p w:rsidR="00F359D8" w:rsidRPr="00E83072" w:rsidRDefault="00F359D8">
      <w:pPr>
        <w:jc w:val="both"/>
        <w:rPr>
          <w:rFonts w:asciiTheme="minorHAnsi" w:hAnsiTheme="minorHAnsi"/>
          <w:b/>
        </w:rPr>
      </w:pPr>
    </w:p>
    <w:p w:rsidR="00F359D8" w:rsidRPr="00E83072" w:rsidRDefault="00F359D8" w:rsidP="00737E3D">
      <w:pPr>
        <w:ind w:left="1276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1. </w:t>
      </w:r>
      <w:r w:rsidR="005533AA">
        <w:rPr>
          <w:rFonts w:asciiTheme="minorHAnsi" w:hAnsiTheme="minorHAnsi"/>
        </w:rPr>
        <w:tab/>
      </w:r>
      <w:r w:rsidRPr="00E83072">
        <w:rPr>
          <w:rFonts w:asciiTheme="minorHAnsi" w:hAnsiTheme="minorHAnsi"/>
        </w:rPr>
        <w:t>Nabór projektów z użyciem Platformy Dobry Pomysł</w:t>
      </w:r>
      <w:r w:rsidR="005319EB" w:rsidRPr="00E83072">
        <w:rPr>
          <w:rFonts w:asciiTheme="minorHAnsi" w:hAnsiTheme="minorHAnsi"/>
        </w:rPr>
        <w:t>:</w:t>
      </w:r>
    </w:p>
    <w:p w:rsidR="00F359D8" w:rsidRPr="00E83072" w:rsidRDefault="00F359D8" w:rsidP="004438A6">
      <w:pPr>
        <w:pStyle w:val="Akapitzlist"/>
        <w:numPr>
          <w:ilvl w:val="0"/>
          <w:numId w:val="14"/>
        </w:numPr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Poprzez formularz aplikacyjny zamieszczony na Platformie Dobry Pomysł odbywa się ciągły nabór aplikacji od osób fizycznych – Pomysłodawców.</w:t>
      </w:r>
    </w:p>
    <w:p w:rsidR="00F359D8" w:rsidRPr="00E83072" w:rsidRDefault="0019296C" w:rsidP="004438A6">
      <w:pPr>
        <w:pStyle w:val="Akapitzlist"/>
        <w:numPr>
          <w:ilvl w:val="0"/>
          <w:numId w:val="14"/>
        </w:numPr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Oc</w:t>
      </w:r>
      <w:r w:rsidR="00F359D8" w:rsidRPr="00E83072">
        <w:rPr>
          <w:rFonts w:asciiTheme="minorHAnsi" w:hAnsiTheme="minorHAnsi"/>
        </w:rPr>
        <w:t xml:space="preserve">ena formalna dokonywana jest </w:t>
      </w:r>
      <w:r w:rsidRPr="00E83072">
        <w:rPr>
          <w:rFonts w:asciiTheme="minorHAnsi" w:hAnsiTheme="minorHAnsi"/>
        </w:rPr>
        <w:t xml:space="preserve">przez Konsorcjum </w:t>
      </w:r>
      <w:r w:rsidR="00F359D8" w:rsidRPr="00E83072">
        <w:rPr>
          <w:rFonts w:asciiTheme="minorHAnsi" w:hAnsiTheme="minorHAnsi"/>
        </w:rPr>
        <w:t>w ramach funkcjonalności Platformy – w ten sposób wytypowane zostaje 350 projektów wobec których uruchamiany jest proces oceny merytorycznej.</w:t>
      </w:r>
    </w:p>
    <w:p w:rsidR="00F359D8" w:rsidRPr="00E83072" w:rsidRDefault="00F359D8" w:rsidP="004438A6">
      <w:pPr>
        <w:pStyle w:val="Akapitzlist"/>
        <w:numPr>
          <w:ilvl w:val="0"/>
          <w:numId w:val="14"/>
        </w:numPr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Do Pomysłodawców, któ</w:t>
      </w:r>
      <w:r w:rsidR="0019296C" w:rsidRPr="00E83072">
        <w:rPr>
          <w:rFonts w:asciiTheme="minorHAnsi" w:hAnsiTheme="minorHAnsi"/>
        </w:rPr>
        <w:t>rzy pozytywnie przeszli etap</w:t>
      </w:r>
      <w:r w:rsidRPr="00E83072">
        <w:rPr>
          <w:rFonts w:asciiTheme="minorHAnsi" w:hAnsiTheme="minorHAnsi"/>
        </w:rPr>
        <w:t xml:space="preserve"> oceny formalnej kierowane są </w:t>
      </w:r>
      <w:r w:rsidR="0019296C" w:rsidRPr="00E83072">
        <w:rPr>
          <w:rFonts w:asciiTheme="minorHAnsi" w:hAnsiTheme="minorHAnsi"/>
        </w:rPr>
        <w:t xml:space="preserve">rozszerzone </w:t>
      </w:r>
      <w:r w:rsidRPr="00E83072">
        <w:rPr>
          <w:rFonts w:asciiTheme="minorHAnsi" w:hAnsiTheme="minorHAnsi"/>
        </w:rPr>
        <w:t xml:space="preserve">formularze </w:t>
      </w:r>
      <w:r w:rsidR="0019296C" w:rsidRPr="00E83072">
        <w:rPr>
          <w:rFonts w:asciiTheme="minorHAnsi" w:hAnsiTheme="minorHAnsi"/>
        </w:rPr>
        <w:t>aplikacyjne (zawierają</w:t>
      </w:r>
      <w:r w:rsidR="00032F5F" w:rsidRPr="00E83072">
        <w:rPr>
          <w:rFonts w:asciiTheme="minorHAnsi" w:hAnsiTheme="minorHAnsi"/>
        </w:rPr>
        <w:t>ce pytania otwarte dotyczące Pomysłów).</w:t>
      </w:r>
    </w:p>
    <w:p w:rsidR="00F359D8" w:rsidRPr="00E83072" w:rsidRDefault="00F359D8" w:rsidP="004438A6">
      <w:pPr>
        <w:pStyle w:val="Akapitzlist"/>
        <w:numPr>
          <w:ilvl w:val="0"/>
          <w:numId w:val="14"/>
        </w:numPr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Pomysłodawcy, do których </w:t>
      </w:r>
      <w:r w:rsidR="00032F5F" w:rsidRPr="00E83072">
        <w:rPr>
          <w:rFonts w:asciiTheme="minorHAnsi" w:hAnsiTheme="minorHAnsi"/>
        </w:rPr>
        <w:t>skierowano rozszerzone formularze aplikacyjne w</w:t>
      </w:r>
      <w:r w:rsidRPr="00E83072">
        <w:rPr>
          <w:rFonts w:asciiTheme="minorHAnsi" w:hAnsiTheme="minorHAnsi"/>
        </w:rPr>
        <w:t xml:space="preserve"> ciągu 14 dni odsyłają uzupełniony dokument.</w:t>
      </w:r>
    </w:p>
    <w:p w:rsidR="00F359D8" w:rsidRPr="00E83072" w:rsidRDefault="00F359D8" w:rsidP="004438A6">
      <w:pPr>
        <w:pStyle w:val="Akapitzlist"/>
        <w:numPr>
          <w:ilvl w:val="0"/>
          <w:numId w:val="14"/>
        </w:numPr>
        <w:ind w:left="1418" w:hanging="28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Uzupełnione </w:t>
      </w:r>
      <w:r w:rsidR="00032F5F" w:rsidRPr="00E83072">
        <w:rPr>
          <w:rFonts w:asciiTheme="minorHAnsi" w:hAnsiTheme="minorHAnsi"/>
        </w:rPr>
        <w:t>rozszerzone formularze aplikacyjne p</w:t>
      </w:r>
      <w:r w:rsidRPr="00E83072">
        <w:rPr>
          <w:rFonts w:asciiTheme="minorHAnsi" w:hAnsiTheme="minorHAnsi"/>
        </w:rPr>
        <w:t>rzekazane zostają do koordynatorów delegowanych z ramienia poszczególnych Konsorcjantów.</w:t>
      </w:r>
    </w:p>
    <w:p w:rsidR="00F359D8" w:rsidRPr="00E83072" w:rsidRDefault="00F359D8" w:rsidP="00737E3D">
      <w:pPr>
        <w:ind w:left="1276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2. Weryfikacja komercyjnej przydatności pomysłów we współpracy z ekspertami branżowymi – wybór najlepszych rozwiązań.</w:t>
      </w:r>
    </w:p>
    <w:p w:rsidR="00F359D8" w:rsidRPr="00E83072" w:rsidRDefault="00F359D8" w:rsidP="00C9605C">
      <w:pPr>
        <w:ind w:left="12" w:firstLine="70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u w:val="single"/>
        </w:rPr>
        <w:t>I etap - ocena innowacyjnych pomysłów (n=350):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I etap oceny merytorycznej aplikacji dokonywany jest przez Komisje Oceny Projektów w składzie: Ekspert technologiczny/branżowy z obszarów KIS, Analityk – specjalista w dziedzinie komercjalizacji innowacyjnych pomysłów, Koordynator </w:t>
      </w:r>
      <w:r w:rsidR="00BC3E92">
        <w:rPr>
          <w:rFonts w:asciiTheme="minorHAnsi" w:hAnsiTheme="minorHAnsi"/>
        </w:rPr>
        <w:t>delegowan</w:t>
      </w:r>
      <w:r w:rsidRPr="00E83072">
        <w:rPr>
          <w:rFonts w:asciiTheme="minorHAnsi" w:hAnsiTheme="minorHAnsi"/>
        </w:rPr>
        <w:t>y  z ramienia Wykonawcy.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Liczba Komisji dedykowana do przeprowadzenia I etapu oceny merytorycznej wynosi n=[5&lt;n&lt;20] wg. obszarów dziedzin zidentyfikowanych w ramach KIS, w zależności od przynależności branżowej projektów wyłonionych w naborze.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Przewodniczącym komisji jest Koordynator.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Pozostałych członków komisji powołuje Przewodniczący.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Przewodniczący i członkowie Komisji zobowiązani są do podpisania deklaracji poufności i bezstronności. Niepodpisanie deklaracji jest równoznaczne z wykluczeniem danej osoby z udziału w pracach Komisji. 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Przewodniczący Komisji odpowiedzialny jest za:</w:t>
      </w:r>
    </w:p>
    <w:p w:rsidR="00F359D8" w:rsidRPr="00E83072" w:rsidRDefault="00F359D8" w:rsidP="004438A6">
      <w:pPr>
        <w:pStyle w:val="Akapitzlist"/>
        <w:numPr>
          <w:ilvl w:val="0"/>
          <w:numId w:val="16"/>
        </w:numPr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Organizację pracy Komisji;</w:t>
      </w:r>
    </w:p>
    <w:p w:rsidR="00F359D8" w:rsidRPr="00E83072" w:rsidRDefault="00F359D8" w:rsidP="004438A6">
      <w:pPr>
        <w:pStyle w:val="Akapitzlist"/>
        <w:numPr>
          <w:ilvl w:val="0"/>
          <w:numId w:val="16"/>
        </w:numPr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Zapewnienie bezstronności i przejrzystości postępowania Komisji;</w:t>
      </w:r>
    </w:p>
    <w:p w:rsidR="00F359D8" w:rsidRPr="00E83072" w:rsidRDefault="00F359D8" w:rsidP="004438A6">
      <w:pPr>
        <w:pStyle w:val="Akapitzlist"/>
        <w:numPr>
          <w:ilvl w:val="0"/>
          <w:numId w:val="16"/>
        </w:numPr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Prowadzenie korespondencji w sprawach dotyczących prac Komisji;</w:t>
      </w:r>
    </w:p>
    <w:p w:rsidR="00F359D8" w:rsidRPr="00E83072" w:rsidRDefault="00F359D8" w:rsidP="004438A6">
      <w:pPr>
        <w:pStyle w:val="Akapitzlist"/>
        <w:numPr>
          <w:ilvl w:val="0"/>
          <w:numId w:val="16"/>
        </w:numPr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Reprezentowanie Komisji przed Kierownikiem Projektu Dobry Pomysł;</w:t>
      </w:r>
    </w:p>
    <w:p w:rsidR="00F359D8" w:rsidRPr="00E83072" w:rsidRDefault="00F359D8" w:rsidP="004438A6">
      <w:pPr>
        <w:pStyle w:val="Akapitzlist"/>
        <w:numPr>
          <w:ilvl w:val="0"/>
          <w:numId w:val="16"/>
        </w:numPr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Weryfikację prawidłowości I etapu oceny merytorycznej;</w:t>
      </w:r>
    </w:p>
    <w:p w:rsidR="00F359D8" w:rsidRPr="00E83072" w:rsidRDefault="00F359D8" w:rsidP="004438A6">
      <w:pPr>
        <w:pStyle w:val="Akapitzlist"/>
        <w:numPr>
          <w:ilvl w:val="0"/>
          <w:numId w:val="16"/>
        </w:numPr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Weryfikację procesu rankingowania i sporządzenia listy rankingowej oraz listy podmiotów zakwalifikowanych do II etapu oceny merytorycznej;</w:t>
      </w:r>
    </w:p>
    <w:p w:rsidR="00F359D8" w:rsidRPr="00E83072" w:rsidRDefault="00F359D8" w:rsidP="004438A6">
      <w:pPr>
        <w:pStyle w:val="Akapitzlist"/>
        <w:numPr>
          <w:ilvl w:val="0"/>
          <w:numId w:val="16"/>
        </w:numPr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Weryfikację prawidłowości wypełnienia Kart I Etapu Oceny Merytorycznej;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Komisja pracuje w trybie zdalnym. Członkowie Komisji mają obowiązek wypełnienia Kart I Etapu Oceny Merytorycznej w ciągu 7 dni kalendarzowych od daty otrzymania materiałów dotyczących danego projektu i niezwłocznego przekazania ich Przewodniczącemu Komisji. 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Prace Komisji oparte są o informacje pochodzące z formularzy oceny merytorycznej (wraz z ewentualnymi załącznikami) dostarczonych po etapie oceny dostępu i oceny formalnej.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Kryteria oceny ustalane są na podstawie wstępnego określenia potencjału rynkowego pomysłu oraz wstępnej identyfikacji potencjału produktowego.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Wynik I Etapu Oceny Merytorycznej – wybór 120 najlepszych rozwiązań - ustalany jest na podstawie punktacji  i uzasadnienia odzwierciedlonych na Karcie I Etapu Oceny Merytorycznej.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Wyboru 120 najlepszych projektów dokonuje się w trybie skoordynowania ustaleń prac wszystkich Komisji poprzez zbiorowe podsumowanie wyników I Etapu Oceny Merytorycznej na spotkaniu Przewodniczących wszystkich Komisji. Spotkania takie, których rezultatem będzie podsumowanie efektów I Etapu Oceny Merytorycznej w danym okresie sprawozdawczym, będą organizowane sukcesywnie, nie rzadziej niż raz w miesiącu, w całym okresie realizacji I Etapu Oceny Merytorycznej. Efektem tych spotkań będzie Ranking projektów zakwalifikowanych do puli 120 najlepszych. </w:t>
      </w:r>
    </w:p>
    <w:p w:rsidR="00F359D8" w:rsidRPr="00E83072" w:rsidRDefault="00F359D8" w:rsidP="004438A6">
      <w:pPr>
        <w:pStyle w:val="Akapitzlist"/>
        <w:numPr>
          <w:ilvl w:val="0"/>
          <w:numId w:val="15"/>
        </w:numPr>
        <w:ind w:left="1418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 Pomysłodawcy zostaną poinformowani drogą elektroniczną przez Przewodniczących Komisji o wynikach I Etapu Oceny Merytorycznej, po zamknięciu Rankingu dla danego etapu I Oceny Merytorycznej. </w:t>
      </w:r>
    </w:p>
    <w:p w:rsidR="00C9605C" w:rsidRDefault="00C9605C">
      <w:pPr>
        <w:jc w:val="both"/>
        <w:rPr>
          <w:rFonts w:asciiTheme="minorHAnsi" w:hAnsiTheme="minorHAnsi"/>
          <w:u w:val="single"/>
        </w:rPr>
      </w:pPr>
    </w:p>
    <w:p w:rsidR="00F359D8" w:rsidRPr="00E83072" w:rsidRDefault="00F359D8" w:rsidP="0027534D">
      <w:pPr>
        <w:ind w:firstLine="360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u w:val="single"/>
        </w:rPr>
        <w:t>II etap – ocena innowacyjnych pomysłów (n=120)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II etap oceny merytorycznej aplikacji dokonywany jest przez Komisje Oceny Projektów w składzie: Ekspert technologiczny/branżowy z obszarów KIS, Analityk – specjalista w dziedzinie komercjalizacji innowacyjnych pomysłów, Koordynator </w:t>
      </w:r>
      <w:r w:rsidR="00BC3E92">
        <w:rPr>
          <w:rFonts w:asciiTheme="minorHAnsi" w:hAnsiTheme="minorHAnsi"/>
        </w:rPr>
        <w:t xml:space="preserve">dedykowany </w:t>
      </w:r>
      <w:r w:rsidRPr="00E83072">
        <w:rPr>
          <w:rFonts w:asciiTheme="minorHAnsi" w:hAnsiTheme="minorHAnsi"/>
        </w:rPr>
        <w:t>z ramienia Wykonawcy.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Liczba Komisji dedykowana do przeprowadzenia II etapu oceny merytorycznej wynosi n=[5&lt;n&lt;20] wg. obszarów dziedzin zidentyfikowanych w ramach KIS, w zależności od przynależności branżowej projektów wyłonionych w naborze.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Przewodniczącym komisji jest Koordynator.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Pozostałych członków komisji powołuje Przewodniczący.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Przewodniczący i członkowie Komisji zobowiązani są do podpisania deklaracji poufności i bezstronności. Niepodpisanie deklaracji jest równoznaczne z wykluczeniem danej osoby z udziału w pracach Komisji. 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Przewodniczący Komisji odpowiedzialny jest za:</w:t>
      </w:r>
    </w:p>
    <w:p w:rsidR="00F359D8" w:rsidRPr="00E83072" w:rsidRDefault="00F359D8" w:rsidP="004438A6">
      <w:pPr>
        <w:numPr>
          <w:ilvl w:val="1"/>
          <w:numId w:val="18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Organizację pracy Komisji;</w:t>
      </w:r>
    </w:p>
    <w:p w:rsidR="00F359D8" w:rsidRPr="00E83072" w:rsidRDefault="00F359D8" w:rsidP="004438A6">
      <w:pPr>
        <w:numPr>
          <w:ilvl w:val="1"/>
          <w:numId w:val="18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Zapewnienie bezstronności i przejrzystości postępowania Komisji;</w:t>
      </w:r>
    </w:p>
    <w:p w:rsidR="00F359D8" w:rsidRPr="00E83072" w:rsidRDefault="00F359D8" w:rsidP="004438A6">
      <w:pPr>
        <w:numPr>
          <w:ilvl w:val="1"/>
          <w:numId w:val="18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Prowadzenie korespondencji w sprawach dotyczących prac Komisji;</w:t>
      </w:r>
    </w:p>
    <w:p w:rsidR="00F359D8" w:rsidRPr="00E83072" w:rsidRDefault="00F359D8" w:rsidP="004438A6">
      <w:pPr>
        <w:numPr>
          <w:ilvl w:val="1"/>
          <w:numId w:val="18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Reprezentowanie Komisji przed Kierownikiem Projektu Dobry Pomysł;</w:t>
      </w:r>
    </w:p>
    <w:p w:rsidR="00F359D8" w:rsidRPr="00E83072" w:rsidRDefault="00F359D8" w:rsidP="004438A6">
      <w:pPr>
        <w:numPr>
          <w:ilvl w:val="1"/>
          <w:numId w:val="18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Weryfikację prawidłowości II etapu oceny merytorycznej;</w:t>
      </w:r>
    </w:p>
    <w:p w:rsidR="00F359D8" w:rsidRPr="00E83072" w:rsidRDefault="00F359D8" w:rsidP="004438A6">
      <w:pPr>
        <w:numPr>
          <w:ilvl w:val="1"/>
          <w:numId w:val="18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Weryfikację procesu rankingowania i sporządzenia listy rankingowej oraz podmiotów zakwalifikowanych do wsparcia poprzez realizację  usług doradczych według wymaganego katalogu;</w:t>
      </w:r>
    </w:p>
    <w:p w:rsidR="00F359D8" w:rsidRPr="00E83072" w:rsidRDefault="00F359D8" w:rsidP="004438A6">
      <w:pPr>
        <w:numPr>
          <w:ilvl w:val="1"/>
          <w:numId w:val="18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Weryfikację prawidłowości wypełnienia Kart II Etapu Oceny Merytorycznej;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Komisja pracuje w trybie posiedzeń w miejscach i terminach określonych przez Przewodniczącego.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Posiedzenia Komisji odbywają się w trybie spotkań z Pomysłodawcami  (dopuszczalna jest forma wideokonferencji, z tym że członkowie Komisji obradują zgromadzeni w jednym miejscu).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Przewodniczący Komisji dołożą wszelkiej staranności, aby spotkania Komisji z Pomysłodawcami odbywały się nie rzadziej niż raz w tygodniu, w trybie równoległych prac kilku (co najmniej trzech) Komisji, w całym okresie realizacji II Etapu Oceny Merytorycznej. 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Prace Komisji oparte są o prezentacje projektów przygotowane przez Pomysłodawców, wywiad z Pomysłodawcami przeprowadzony przez Komisję w trakcie spotkania  oraz dokumentację zgromadzoną w poprzednich etapach Programu.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Kryteria oceny ustalane są na podstawie określenia potencjału rynkowego pomysłu, identyfikacji potencjału produktowego, weryfikacji zasobów i kompetencji pomysłodawcy oraz zdolności do aktywnego uczestnictwa w dalszej komercjalizacji projektu.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Wynik II Etapu Oceny Merytorycznej – wybór 35 najlepszych rozwiązań - ustalany jest na podstawie punktacji i uzasadnienia odzwierciedlonych na Karcie II Etapu Oceny Merytorycznej.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Wyboru 35 najlepszych projektów dokonuje się w trybie skoordynowania ustaleń prac wszystkich Komisji poprzez zbiorowe podsumowanie wyników II Etapu Oceny Merytorycznej na spotkaniu Przewodniczących wszystkich Komisji. Spotkania takie, których rezultatem będzie podsumowanie efektów II Etapu Oceny Merytorycznej w danym okresie sprawozdawczym, będą organizowane sukcesywnie, nie rzadziej niż raz w miesiącu, w całym okresie realizacji II Etapu Oceny Merytorycznej. Efektem tych spotkań będzie ranking projektów zakwalifikowanych do puli 35 najlepszych. 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Pomysłodawcy zostaną poinformowani drogą elektroniczną przez Przewodniczących Komisji o wynikach II Etapu Oceny Merytorycznej, po zamknięciu rankingu dla Etapu II Oceny Merytorycznej. </w:t>
      </w:r>
    </w:p>
    <w:p w:rsidR="00F359D8" w:rsidRPr="00E83072" w:rsidRDefault="00F359D8" w:rsidP="004438A6">
      <w:pPr>
        <w:numPr>
          <w:ilvl w:val="0"/>
          <w:numId w:val="17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II Etap Oceny Merytorycznej jest ostatnim elementem procesu Oceny Merytorycznej zgłoszonych projektów. Ranking 35 najlepszych rozwiązań stanowi końcowy efekt procesów Oceny Formalnej i Merytorycznej.</w:t>
      </w:r>
    </w:p>
    <w:p w:rsidR="00F359D8" w:rsidRPr="00E83072" w:rsidRDefault="00F359D8">
      <w:pPr>
        <w:contextualSpacing/>
        <w:jc w:val="both"/>
        <w:rPr>
          <w:rFonts w:asciiTheme="minorHAnsi" w:hAnsiTheme="minorHAnsi"/>
        </w:rPr>
      </w:pPr>
    </w:p>
    <w:p w:rsidR="00F359D8" w:rsidRPr="00E83072" w:rsidRDefault="00F359D8">
      <w:p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3.</w:t>
      </w:r>
      <w:r w:rsidR="005319EB" w:rsidRPr="00E83072">
        <w:rPr>
          <w:rFonts w:asciiTheme="minorHAnsi" w:hAnsiTheme="minorHAnsi"/>
        </w:rPr>
        <w:t xml:space="preserve"> </w:t>
      </w:r>
      <w:r w:rsidR="0027534D">
        <w:rPr>
          <w:rFonts w:asciiTheme="minorHAnsi" w:hAnsiTheme="minorHAnsi"/>
        </w:rPr>
        <w:t xml:space="preserve"> </w:t>
      </w:r>
      <w:r w:rsidRPr="00E83072">
        <w:rPr>
          <w:rFonts w:asciiTheme="minorHAnsi" w:hAnsiTheme="minorHAnsi"/>
        </w:rPr>
        <w:t>Wymagania dot</w:t>
      </w:r>
      <w:r w:rsidR="005319EB" w:rsidRPr="00E83072">
        <w:rPr>
          <w:rFonts w:asciiTheme="minorHAnsi" w:hAnsiTheme="minorHAnsi"/>
        </w:rPr>
        <w:t>yczące dokonywania o</w:t>
      </w:r>
      <w:r w:rsidR="0027534D">
        <w:rPr>
          <w:rFonts w:asciiTheme="minorHAnsi" w:hAnsiTheme="minorHAnsi"/>
        </w:rPr>
        <w:t>ceny przez ekspertów branżowych:</w:t>
      </w:r>
    </w:p>
    <w:p w:rsidR="00F359D8" w:rsidRPr="00E83072" w:rsidRDefault="00F359D8">
      <w:pPr>
        <w:contextualSpacing/>
        <w:jc w:val="both"/>
        <w:rPr>
          <w:rFonts w:asciiTheme="minorHAnsi" w:hAnsiTheme="minorHAnsi"/>
        </w:rPr>
      </w:pPr>
    </w:p>
    <w:p w:rsidR="005319EB" w:rsidRPr="00E83072" w:rsidRDefault="00F359D8" w:rsidP="004438A6">
      <w:pPr>
        <w:numPr>
          <w:ilvl w:val="0"/>
          <w:numId w:val="19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Ocena/opinia powinna być logicznie spójna, konkretna i rzeczowa, a jej wynik jasny i jednoznaczny, ściśle odpowiadający wskazanemu uzasadnieniu, odwołujący się do dokumentacji przedstawianej przez Wnioskodawcę i dokumentów programowych.</w:t>
      </w:r>
      <w:r w:rsidR="005319EB" w:rsidRPr="00E83072">
        <w:rPr>
          <w:rFonts w:asciiTheme="minorHAnsi" w:hAnsiTheme="minorHAnsi"/>
        </w:rPr>
        <w:t xml:space="preserve"> </w:t>
      </w:r>
    </w:p>
    <w:p w:rsidR="00F359D8" w:rsidRPr="00E83072" w:rsidRDefault="00F359D8" w:rsidP="004438A6">
      <w:pPr>
        <w:numPr>
          <w:ilvl w:val="0"/>
          <w:numId w:val="19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W przypadku braków, omyłek lub niejasności ocena/opinia zwracana jest Ekspertowi </w:t>
      </w:r>
      <w:r w:rsidR="005319EB" w:rsidRPr="00E83072">
        <w:rPr>
          <w:rFonts w:asciiTheme="minorHAnsi" w:hAnsiTheme="minorHAnsi"/>
        </w:rPr>
        <w:t xml:space="preserve"> </w:t>
      </w:r>
      <w:r w:rsidRPr="00E83072">
        <w:rPr>
          <w:rFonts w:asciiTheme="minorHAnsi" w:hAnsiTheme="minorHAnsi"/>
        </w:rPr>
        <w:t>z wnioskiem o jej uzupełnienie lub skorygowanie. Ekspert zobowiązany jest do współpracy w zakresie wprowadzania poprawek i uzupełnień wskazanych przez osoby upoważnione do tego zadania, po dokonanej przez nich formalnej weryfikacji świadczonej przez Eksperta usługi.</w:t>
      </w:r>
    </w:p>
    <w:p w:rsidR="00F359D8" w:rsidRPr="00E83072" w:rsidRDefault="00F359D8" w:rsidP="004438A6">
      <w:pPr>
        <w:numPr>
          <w:ilvl w:val="0"/>
          <w:numId w:val="19"/>
        </w:numPr>
        <w:spacing w:after="0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Treść dokonanej przez Eksperta usługi stanowiącej przedmiot Umowy może zostać udostępniona Wnioskodawcy, zatem uzasadnienie dokonanej oceny/opinii musi być szczegółowe, wyczerpujące, poparte rzeczowymi argumentami i jednoznaczne.</w:t>
      </w:r>
    </w:p>
    <w:p w:rsidR="00F359D8" w:rsidRPr="00E83072" w:rsidRDefault="00F359D8" w:rsidP="004438A6">
      <w:pPr>
        <w:numPr>
          <w:ilvl w:val="0"/>
          <w:numId w:val="19"/>
        </w:numPr>
        <w:spacing w:after="0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Przed przystąpieniem do wykonania przedmiotu Umowy Ekspert zobowiązany jest zapoznać się z pełną dokumentacją aplikacyjną, jak też dokumentacją programową i konkursową.</w:t>
      </w:r>
    </w:p>
    <w:p w:rsidR="00F359D8" w:rsidRPr="00E83072" w:rsidRDefault="00F359D8" w:rsidP="004438A6">
      <w:pPr>
        <w:numPr>
          <w:ilvl w:val="0"/>
          <w:numId w:val="19"/>
        </w:numPr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 xml:space="preserve">Ekspert dokonujący oceny/opinii w danym kryterium musi w sposób wyczerpujący, wnikliwy i jednoznaczny uzasadnić jej wynik oraz przyznaną punktację cząstkową, wpisując w pole uzasadnienia tylko takie stwierdzenia, które bezpośrednio odnoszą się do danego kryterium oraz oparte są na informacjach zawartych w dokumentacji aplikacyjnej. Przyznanie maksymalnej liczby punktów w danym kryterium powinno wynikać z całkowicie pozytywnej oceny projektu w tym kryterium i być poparte odpowiednim uzasadnieniem. W przypadku w którym ocena ma charakter zero-jedynkowy („tak”/”nie”) należy w sposób jednoznaczny, nie budzący wątpliwości uzasadnić jej wynik. Wyłącznie ocena w przeważającej mierze pozytywna dla danego kryterium warunkuje wybór opcji „tak”. Treść uzasadnienia i wskazane argumenty winny ściśle korelować z wynikiem oceny danego kryterium. </w:t>
      </w:r>
    </w:p>
    <w:p w:rsidR="009201C8" w:rsidRPr="00E83072" w:rsidRDefault="009201C8" w:rsidP="004438A6">
      <w:pPr>
        <w:numPr>
          <w:ilvl w:val="0"/>
          <w:numId w:val="19"/>
        </w:numPr>
        <w:spacing w:before="120" w:after="0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Niedopuszczalne jest:</w:t>
      </w:r>
    </w:p>
    <w:p w:rsidR="009201C8" w:rsidRPr="00E83072" w:rsidRDefault="009201C8" w:rsidP="004438A6">
      <w:pPr>
        <w:numPr>
          <w:ilvl w:val="0"/>
          <w:numId w:val="20"/>
        </w:numPr>
        <w:spacing w:after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zamieszczanie w każdym polu uzasadnienia tego samego stwierdzenia mówiącego, że ogólna ocena projektu jest negatywna/pozytywna;</w:t>
      </w:r>
    </w:p>
    <w:p w:rsidR="009201C8" w:rsidRPr="00E83072" w:rsidRDefault="009201C8" w:rsidP="004438A6">
      <w:pPr>
        <w:numPr>
          <w:ilvl w:val="0"/>
          <w:numId w:val="20"/>
        </w:numPr>
        <w:spacing w:after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zamieszczenie emocjonalnej oceny projektu;</w:t>
      </w:r>
    </w:p>
    <w:p w:rsidR="009201C8" w:rsidRPr="00E83072" w:rsidRDefault="009201C8" w:rsidP="004438A6">
      <w:pPr>
        <w:numPr>
          <w:ilvl w:val="0"/>
          <w:numId w:val="20"/>
        </w:numPr>
        <w:spacing w:after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zamieszczanie ogólnikowego, nie popartego żadnego argumentacją i mało przejrzystego uzasadnienia;</w:t>
      </w:r>
    </w:p>
    <w:p w:rsidR="009201C8" w:rsidRPr="00E83072" w:rsidRDefault="009201C8" w:rsidP="004438A6">
      <w:pPr>
        <w:numPr>
          <w:ilvl w:val="0"/>
          <w:numId w:val="20"/>
        </w:numPr>
        <w:spacing w:after="0"/>
        <w:contextualSpacing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zamieszczanie treści uzasadnienia niezgodnego z wynikiem oceny danego kryterium i projektu.</w:t>
      </w:r>
    </w:p>
    <w:p w:rsidR="00F359D8" w:rsidRPr="00E83072" w:rsidRDefault="00F359D8">
      <w:pPr>
        <w:spacing w:after="0"/>
        <w:jc w:val="both"/>
        <w:rPr>
          <w:rFonts w:asciiTheme="minorHAnsi" w:hAnsiTheme="minorHAnsi"/>
        </w:rPr>
      </w:pPr>
    </w:p>
    <w:p w:rsidR="005319EB" w:rsidRPr="00E83072" w:rsidRDefault="005319EB" w:rsidP="004438A6">
      <w:pPr>
        <w:keepNext/>
        <w:numPr>
          <w:ilvl w:val="0"/>
          <w:numId w:val="4"/>
        </w:numPr>
        <w:spacing w:before="60" w:after="0"/>
        <w:ind w:left="0" w:firstLine="0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b/>
          <w:lang w:eastAsia="pl-PL"/>
        </w:rPr>
        <w:t>Ocena pracy ekspertów</w:t>
      </w:r>
    </w:p>
    <w:p w:rsidR="005319EB" w:rsidRPr="00E83072" w:rsidRDefault="005319EB" w:rsidP="005319EB">
      <w:pPr>
        <w:spacing w:after="0"/>
        <w:jc w:val="both"/>
        <w:rPr>
          <w:rFonts w:asciiTheme="minorHAnsi" w:hAnsiTheme="minorHAnsi"/>
          <w:b/>
          <w:lang w:eastAsia="pl-PL"/>
        </w:rPr>
      </w:pPr>
    </w:p>
    <w:p w:rsidR="005319EB" w:rsidRPr="00E83072" w:rsidRDefault="005319EB" w:rsidP="004438A6">
      <w:pPr>
        <w:numPr>
          <w:ilvl w:val="0"/>
          <w:numId w:val="1"/>
        </w:numPr>
        <w:spacing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</w:rPr>
        <w:t>Wykonanie określonych świadczeń eksperckich stanowiących przedmiot Umowy, będzie każdorazowo zlecane na podstawie Zamówienia na świadczenie usługi.</w:t>
      </w:r>
    </w:p>
    <w:p w:rsidR="005319EB" w:rsidRPr="00E83072" w:rsidRDefault="005319EB" w:rsidP="004438A6">
      <w:pPr>
        <w:numPr>
          <w:ilvl w:val="0"/>
          <w:numId w:val="1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Przedstawiciele Konsorcjum monitorują i weryfikują jakość pracy wykonywanej przez ekspertów w ramach umów dotyczących udziału w </w:t>
      </w:r>
      <w:r w:rsidRPr="00E83072">
        <w:rPr>
          <w:rFonts w:asciiTheme="minorHAnsi" w:hAnsiTheme="minorHAnsi"/>
        </w:rPr>
        <w:t xml:space="preserve">określonych świadczeniach eksperckich stanowiących przedmiot Umowy. </w:t>
      </w:r>
    </w:p>
    <w:p w:rsidR="005319EB" w:rsidRPr="00E83072" w:rsidRDefault="005319EB" w:rsidP="004438A6">
      <w:pPr>
        <w:numPr>
          <w:ilvl w:val="0"/>
          <w:numId w:val="1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Ocena pracy eksperta dokonywana jest w każdym przypadku, w którym ekspert został zaangażowany w określone świadczenie eksperckie, na podstawie protokołu odbioru zamówienia na świadczenie usługi.</w:t>
      </w:r>
    </w:p>
    <w:p w:rsidR="005319EB" w:rsidRPr="00E83072" w:rsidRDefault="005319EB" w:rsidP="004438A6">
      <w:pPr>
        <w:numPr>
          <w:ilvl w:val="0"/>
          <w:numId w:val="1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Ocena pracy eksperta może zakończyć się wynikiem pozytywnym, albo negatywnym.</w:t>
      </w:r>
    </w:p>
    <w:p w:rsidR="005319EB" w:rsidRPr="00E83072" w:rsidRDefault="005319EB" w:rsidP="004438A6">
      <w:pPr>
        <w:numPr>
          <w:ilvl w:val="0"/>
          <w:numId w:val="1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Uzyskanie przez eksperta oceny negatywnej może być wynikiem </w:t>
      </w:r>
      <w:r w:rsidRPr="00E83072">
        <w:rPr>
          <w:rFonts w:asciiTheme="minorHAnsi" w:hAnsiTheme="minorHAnsi"/>
        </w:rPr>
        <w:t xml:space="preserve">niekompletności oceny polegającej na braku wypełnienia wszystkich rubryk karty oceny, braku rzeczowych argumentów, braku adekwatnych uzasadnień dla wszystkich ocenianych kryteriów, a także wykonania usługi niezgodnie z zasadami ujętymi w dokumentach programowych. </w:t>
      </w:r>
      <w:r w:rsidRPr="00E83072">
        <w:rPr>
          <w:rFonts w:asciiTheme="minorHAnsi" w:hAnsiTheme="minorHAnsi"/>
          <w:lang w:eastAsia="pl-PL"/>
        </w:rPr>
        <w:t>Uzyskanie przez eksperta oceny negatywnej skutkuje skreśleniem go z wykazu kandydatów na ekspertów.</w:t>
      </w:r>
      <w:r w:rsidRPr="00E83072">
        <w:rPr>
          <w:rFonts w:asciiTheme="minorHAnsi" w:hAnsiTheme="minorHAnsi"/>
          <w:b/>
          <w:lang w:eastAsia="pl-PL"/>
        </w:rPr>
        <w:t xml:space="preserve"> </w:t>
      </w:r>
    </w:p>
    <w:p w:rsidR="005319EB" w:rsidRPr="00E83072" w:rsidRDefault="005319EB" w:rsidP="005319EB">
      <w:pPr>
        <w:spacing w:after="0"/>
        <w:jc w:val="both"/>
        <w:rPr>
          <w:rFonts w:asciiTheme="minorHAnsi" w:hAnsiTheme="minorHAnsi"/>
          <w:b/>
          <w:lang w:eastAsia="pl-PL"/>
        </w:rPr>
      </w:pPr>
    </w:p>
    <w:p w:rsidR="005319EB" w:rsidRPr="00E83072" w:rsidRDefault="005319EB" w:rsidP="004438A6">
      <w:pPr>
        <w:keepNext/>
        <w:numPr>
          <w:ilvl w:val="0"/>
          <w:numId w:val="4"/>
        </w:numPr>
        <w:spacing w:before="60" w:after="0"/>
        <w:ind w:left="0" w:firstLine="0"/>
        <w:jc w:val="both"/>
        <w:rPr>
          <w:rFonts w:asciiTheme="minorHAnsi" w:hAnsiTheme="minorHAnsi"/>
          <w:b/>
        </w:rPr>
      </w:pPr>
      <w:r w:rsidRPr="00E83072">
        <w:rPr>
          <w:rFonts w:asciiTheme="minorHAnsi" w:hAnsiTheme="minorHAnsi"/>
          <w:b/>
          <w:lang w:eastAsia="pl-PL"/>
        </w:rPr>
        <w:t xml:space="preserve">Usunięcie kandydata na eksperta/eksperta z Wykazu </w:t>
      </w:r>
    </w:p>
    <w:p w:rsidR="005319EB" w:rsidRPr="00E83072" w:rsidRDefault="005319EB" w:rsidP="005319EB">
      <w:pPr>
        <w:spacing w:after="0"/>
        <w:rPr>
          <w:rFonts w:asciiTheme="minorHAnsi" w:hAnsiTheme="minorHAnsi"/>
          <w:lang w:eastAsia="pl-PL"/>
        </w:rPr>
      </w:pPr>
    </w:p>
    <w:p w:rsidR="005319EB" w:rsidRPr="00E83072" w:rsidRDefault="005319EB" w:rsidP="004438A6">
      <w:pPr>
        <w:numPr>
          <w:ilvl w:val="0"/>
          <w:numId w:val="2"/>
        </w:numPr>
        <w:spacing w:before="120" w:after="0"/>
        <w:ind w:left="1134" w:hanging="414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Podmioty odpowiedzialne dokonują usunięcia kandydata na eksperta/eksperta w przypadku zaistnienia co najmniej jednej z poniższych okoliczności:</w:t>
      </w:r>
    </w:p>
    <w:p w:rsidR="005319EB" w:rsidRPr="00E83072" w:rsidRDefault="005319EB" w:rsidP="004438A6">
      <w:pPr>
        <w:numPr>
          <w:ilvl w:val="1"/>
          <w:numId w:val="21"/>
        </w:numPr>
        <w:spacing w:after="0"/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zaprzestanie spełniania kryteriów wymienionych w rozdziale II,</w:t>
      </w:r>
    </w:p>
    <w:p w:rsidR="005319EB" w:rsidRPr="00E83072" w:rsidRDefault="005319EB" w:rsidP="004438A6">
      <w:pPr>
        <w:numPr>
          <w:ilvl w:val="1"/>
          <w:numId w:val="21"/>
        </w:numPr>
        <w:spacing w:after="0"/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złożenia przez kandydata na eksperta/eksperta pisemnej prośby o wykreślenie z wykazu,</w:t>
      </w:r>
    </w:p>
    <w:p w:rsidR="005319EB" w:rsidRPr="00E83072" w:rsidRDefault="005319EB" w:rsidP="004438A6">
      <w:pPr>
        <w:numPr>
          <w:ilvl w:val="1"/>
          <w:numId w:val="21"/>
        </w:numPr>
        <w:spacing w:after="0"/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wycofania przez kandydata na eksperta/eksperta zgody na umieszczanie jego danych osobowych w </w:t>
      </w:r>
      <w:r w:rsidRPr="00E83072">
        <w:rPr>
          <w:rFonts w:asciiTheme="minorHAnsi" w:hAnsiTheme="minorHAnsi"/>
          <w:i/>
          <w:lang w:eastAsia="pl-PL"/>
        </w:rPr>
        <w:t>Wykazie kandydatów na ekspertów</w:t>
      </w:r>
      <w:r w:rsidRPr="00E83072">
        <w:rPr>
          <w:rFonts w:asciiTheme="minorHAnsi" w:hAnsiTheme="minorHAnsi"/>
          <w:lang w:eastAsia="pl-PL"/>
        </w:rPr>
        <w:t>,</w:t>
      </w:r>
    </w:p>
    <w:p w:rsidR="005319EB" w:rsidRPr="00E83072" w:rsidRDefault="005319EB" w:rsidP="004438A6">
      <w:pPr>
        <w:numPr>
          <w:ilvl w:val="1"/>
          <w:numId w:val="21"/>
        </w:numPr>
        <w:spacing w:after="0"/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śmierci kandydata na eksperta/eksperta,</w:t>
      </w:r>
    </w:p>
    <w:p w:rsidR="005319EB" w:rsidRPr="00E83072" w:rsidRDefault="005319EB" w:rsidP="004438A6">
      <w:pPr>
        <w:numPr>
          <w:ilvl w:val="1"/>
          <w:numId w:val="21"/>
        </w:numPr>
        <w:spacing w:after="0"/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rezygnacji eksperta z udziału w wyborze projektów bez uzasadnionych przyczyn lub utrudniania pracy związanej z wyborem projektów do dofinansowania,</w:t>
      </w:r>
    </w:p>
    <w:p w:rsidR="005319EB" w:rsidRPr="00E83072" w:rsidRDefault="005319EB" w:rsidP="004438A6">
      <w:pPr>
        <w:numPr>
          <w:ilvl w:val="1"/>
          <w:numId w:val="21"/>
        </w:numPr>
        <w:spacing w:after="0"/>
        <w:ind w:left="1701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 xml:space="preserve">utraty wymaganych uprawnień w dziedzinie objętej </w:t>
      </w:r>
      <w:r w:rsidR="00BC3E92">
        <w:rPr>
          <w:rFonts w:asciiTheme="minorHAnsi" w:hAnsiTheme="minorHAnsi"/>
          <w:lang w:eastAsia="pl-PL"/>
        </w:rPr>
        <w:t>KIS</w:t>
      </w:r>
      <w:r w:rsidRPr="00E83072">
        <w:rPr>
          <w:rFonts w:asciiTheme="minorHAnsi" w:hAnsiTheme="minorHAnsi"/>
          <w:lang w:eastAsia="pl-PL"/>
        </w:rPr>
        <w:t>, które stanowiły podstawę uzyskania przez niego statusu</w:t>
      </w:r>
      <w:r w:rsidR="00BC3E92">
        <w:rPr>
          <w:rFonts w:asciiTheme="minorHAnsi" w:hAnsiTheme="minorHAnsi"/>
          <w:lang w:eastAsia="pl-PL"/>
        </w:rPr>
        <w:t xml:space="preserve"> kandydata na eksperta/eksperta.</w:t>
      </w:r>
    </w:p>
    <w:p w:rsidR="005319EB" w:rsidRPr="00E83072" w:rsidRDefault="005319EB" w:rsidP="004438A6">
      <w:pPr>
        <w:numPr>
          <w:ilvl w:val="0"/>
          <w:numId w:val="2"/>
        </w:numPr>
        <w:spacing w:before="120" w:after="0"/>
        <w:ind w:left="1134" w:hanging="425"/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lang w:eastAsia="pl-PL"/>
        </w:rPr>
        <w:t>O fakcie usunięcia z wykazu, z zastrzeżeniem pkt.</w:t>
      </w:r>
      <w:r w:rsidR="00E465C0" w:rsidRPr="00E83072">
        <w:rPr>
          <w:rFonts w:asciiTheme="minorHAnsi" w:hAnsiTheme="minorHAnsi"/>
          <w:lang w:eastAsia="pl-PL"/>
        </w:rPr>
        <w:t>1.b</w:t>
      </w:r>
      <w:r w:rsidRPr="00E83072">
        <w:rPr>
          <w:rFonts w:asciiTheme="minorHAnsi" w:hAnsiTheme="minorHAnsi"/>
          <w:lang w:eastAsia="pl-PL"/>
        </w:rPr>
        <w:t xml:space="preserve">, </w:t>
      </w:r>
      <w:r w:rsidR="00BC3E92">
        <w:rPr>
          <w:rFonts w:asciiTheme="minorHAnsi" w:hAnsiTheme="minorHAnsi"/>
          <w:lang w:eastAsia="pl-PL"/>
        </w:rPr>
        <w:t>przedstawiciel podmiotów wymienionych w cz. I, pkt. 3</w:t>
      </w:r>
      <w:r w:rsidRPr="00E83072">
        <w:rPr>
          <w:rFonts w:asciiTheme="minorHAnsi" w:hAnsiTheme="minorHAnsi"/>
          <w:lang w:eastAsia="pl-PL"/>
        </w:rPr>
        <w:t xml:space="preserve"> </w:t>
      </w:r>
      <w:r w:rsidR="00BC3E92">
        <w:rPr>
          <w:rFonts w:asciiTheme="minorHAnsi" w:hAnsiTheme="minorHAnsi"/>
          <w:lang w:eastAsia="pl-PL"/>
        </w:rPr>
        <w:t>niniejszego dokumentu informuje zainteresowane strony.</w:t>
      </w:r>
    </w:p>
    <w:p w:rsidR="009201C8" w:rsidRPr="00E83072" w:rsidRDefault="009201C8">
      <w:pPr>
        <w:spacing w:after="0"/>
        <w:jc w:val="both"/>
        <w:rPr>
          <w:rFonts w:asciiTheme="minorHAnsi" w:hAnsiTheme="minorHAnsi"/>
          <w:b/>
          <w:lang w:eastAsia="pl-PL"/>
        </w:rPr>
      </w:pPr>
    </w:p>
    <w:p w:rsidR="009201C8" w:rsidRPr="00E83072" w:rsidRDefault="009201C8">
      <w:pPr>
        <w:spacing w:after="0"/>
        <w:jc w:val="both"/>
        <w:rPr>
          <w:rFonts w:asciiTheme="minorHAnsi" w:hAnsiTheme="minorHAnsi"/>
        </w:rPr>
      </w:pPr>
    </w:p>
    <w:p w:rsidR="00F359D8" w:rsidRPr="00E83072" w:rsidRDefault="00F359D8">
      <w:pPr>
        <w:jc w:val="both"/>
        <w:rPr>
          <w:rFonts w:asciiTheme="minorHAnsi" w:hAnsiTheme="minorHAnsi"/>
        </w:rPr>
      </w:pPr>
      <w:r w:rsidRPr="00E83072">
        <w:rPr>
          <w:rFonts w:asciiTheme="minorHAnsi" w:hAnsiTheme="minorHAnsi"/>
          <w:u w:val="single"/>
        </w:rPr>
        <w:t>Załączn</w:t>
      </w:r>
      <w:r w:rsidR="00A6031F" w:rsidRPr="00E83072">
        <w:rPr>
          <w:rFonts w:asciiTheme="minorHAnsi" w:hAnsiTheme="minorHAnsi"/>
          <w:u w:val="single"/>
        </w:rPr>
        <w:t>ik</w:t>
      </w:r>
      <w:r w:rsidRPr="00E83072">
        <w:rPr>
          <w:rFonts w:asciiTheme="minorHAnsi" w:hAnsiTheme="minorHAnsi"/>
          <w:u w:val="single"/>
        </w:rPr>
        <w:t>:</w:t>
      </w:r>
    </w:p>
    <w:p w:rsidR="00F359D8" w:rsidRPr="00BC3E92" w:rsidRDefault="00F359D8" w:rsidP="00BC3E92">
      <w:pPr>
        <w:jc w:val="both"/>
        <w:rPr>
          <w:rFonts w:hAnsi="Calibri"/>
        </w:rPr>
      </w:pPr>
      <w:r w:rsidRPr="00E83072">
        <w:rPr>
          <w:rFonts w:asciiTheme="minorHAnsi" w:hAnsiTheme="minorHAnsi"/>
        </w:rPr>
        <w:t>1. Wzó</w:t>
      </w:r>
      <w:r w:rsidR="00BC3E92">
        <w:rPr>
          <w:rFonts w:asciiTheme="minorHAnsi" w:hAnsiTheme="minorHAnsi"/>
        </w:rPr>
        <w:t>r wniosku o wpis</w:t>
      </w:r>
      <w:r w:rsidR="00BC3E92">
        <w:rPr>
          <w:rFonts w:hAnsi="Calibri"/>
        </w:rPr>
        <w:t xml:space="preserve"> </w:t>
      </w:r>
      <w:r w:rsidR="00BC3E92" w:rsidRPr="00BC3E92">
        <w:rPr>
          <w:rFonts w:hAnsi="Calibri"/>
        </w:rPr>
        <w:t>do wykazu kandydatów na ekspertów biorących udział w procesie wyboru projektów w ramach Programu Dobry Pomysł</w:t>
      </w:r>
      <w:r w:rsidRPr="00E83072">
        <w:rPr>
          <w:rFonts w:asciiTheme="minorHAnsi" w:hAnsiTheme="minorHAnsi"/>
        </w:rPr>
        <w:t>;</w:t>
      </w:r>
    </w:p>
    <w:sectPr w:rsidR="00F359D8" w:rsidRPr="00BC3E92">
      <w:headerReference w:type="default" r:id="rId14"/>
      <w:footerReference w:type="default" r:id="rId15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F5" w:rsidRDefault="00066AF5">
      <w:pPr>
        <w:spacing w:after="0" w:line="240" w:lineRule="auto"/>
      </w:pPr>
      <w:r>
        <w:separator/>
      </w:r>
    </w:p>
  </w:endnote>
  <w:endnote w:type="continuationSeparator" w:id="0">
    <w:p w:rsidR="00066AF5" w:rsidRDefault="00066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9E" w:rsidRDefault="008B1920" w:rsidP="0019349E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1743075" cy="495300"/>
          <wp:effectExtent l="0" t="0" r="9525" b="0"/>
          <wp:docPr id="1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03C5">
      <w:rPr>
        <w:noProof/>
        <w:lang w:eastAsia="pl-PL"/>
      </w:rPr>
      <w:t xml:space="preserve">                             </w:t>
    </w:r>
    <w:r>
      <w:rPr>
        <w:noProof/>
        <w:lang w:eastAsia="pl-PL"/>
      </w:rPr>
      <w:drawing>
        <wp:inline distT="0" distB="0" distL="0" distR="0">
          <wp:extent cx="1876425" cy="447675"/>
          <wp:effectExtent l="0" t="0" r="9525" b="9525"/>
          <wp:docPr id="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F5" w:rsidRDefault="00066AF5">
      <w:pPr>
        <w:widowControl w:val="0"/>
        <w:suppressAutoHyphens w:val="0"/>
        <w:spacing w:after="0" w:line="240" w:lineRule="auto"/>
        <w:rPr>
          <w:rFonts w:ascii="Liberation Serif" w:eastAsiaTheme="minorEastAsia" w:cs="Times New Roman"/>
          <w:kern w:val="0"/>
          <w:sz w:val="24"/>
          <w:szCs w:val="24"/>
          <w:lang w:eastAsia="pl-PL"/>
        </w:rPr>
      </w:pPr>
    </w:p>
  </w:footnote>
  <w:footnote w:type="continuationSeparator" w:id="0">
    <w:p w:rsidR="00066AF5" w:rsidRDefault="00066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3"/>
      <w:gridCol w:w="1864"/>
      <w:gridCol w:w="1924"/>
      <w:gridCol w:w="1504"/>
      <w:gridCol w:w="2013"/>
    </w:tblGrid>
    <w:tr w:rsidR="00BD3AE5" w:rsidTr="00EA0E61">
      <w:tc>
        <w:tcPr>
          <w:tcW w:w="1842" w:type="dxa"/>
          <w:vAlign w:val="bottom"/>
        </w:tcPr>
        <w:p w:rsidR="00BD3AE5" w:rsidRDefault="008B1920" w:rsidP="00EA0E61">
          <w:pPr>
            <w:pStyle w:val="Bezodstpw"/>
          </w:pPr>
          <w:r>
            <w:rPr>
              <w:noProof/>
              <w:lang w:eastAsia="pl-PL"/>
            </w:rPr>
            <w:drawing>
              <wp:inline distT="0" distB="0" distL="0" distR="0">
                <wp:extent cx="1123950" cy="609600"/>
                <wp:effectExtent l="0" t="0" r="0" b="0"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6747510</wp:posOffset>
                    </wp:positionV>
                    <wp:extent cx="519430" cy="2183130"/>
                    <wp:effectExtent l="0" t="0" r="0" b="0"/>
                    <wp:wrapNone/>
                    <wp:docPr id="57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3AE5" w:rsidRPr="0019349E" w:rsidRDefault="00BD3AE5" w:rsidP="00BD3AE5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539.25pt;margin-top:531.3pt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" o:allowincell="f" filled="f" stroked="f">
                    <v:textbox style="layout-flow:vertical;mso-layout-flow-alt:bottom-to-top;mso-fit-shape-to-text:t">
                      <w:txbxContent>
                        <w:p w:rsidR="00BD3AE5" w:rsidRPr="0019349E" w:rsidRDefault="00BD3AE5" w:rsidP="00BD3AE5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1842" w:type="dxa"/>
          <w:vAlign w:val="bottom"/>
        </w:tcPr>
        <w:p w:rsidR="00BD3AE5" w:rsidRDefault="008B1920" w:rsidP="00EA0E6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38225" cy="428625"/>
                <wp:effectExtent l="0" t="0" r="9525" b="9525"/>
                <wp:docPr id="7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vAlign w:val="bottom"/>
        </w:tcPr>
        <w:p w:rsidR="00BD3AE5" w:rsidRDefault="008B1920" w:rsidP="00EA0E6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361950"/>
                <wp:effectExtent l="0" t="0" r="9525" b="0"/>
                <wp:docPr id="8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bottom"/>
        </w:tcPr>
        <w:p w:rsidR="00BD3AE5" w:rsidRDefault="008B1920" w:rsidP="00EA0E6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638175"/>
                <wp:effectExtent l="0" t="0" r="9525" b="9525"/>
                <wp:docPr id="9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bottom"/>
        </w:tcPr>
        <w:p w:rsidR="00BD3AE5" w:rsidRDefault="008B1920" w:rsidP="00EA0E61">
          <w:pPr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43000" cy="400050"/>
                <wp:effectExtent l="0" t="0" r="0" b="0"/>
                <wp:docPr id="10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3AE5" w:rsidRDefault="00BD3A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82CA09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bCs/>
        <w:kern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>
    <w:nsid w:val="00000003"/>
    <w:multiLevelType w:val="multilevel"/>
    <w:tmpl w:val="2A80FED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">
    <w:nsid w:val="00000007"/>
    <w:multiLevelType w:val="multilevel"/>
    <w:tmpl w:val="00000007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>
    <w:nsid w:val="0000000D"/>
    <w:multiLevelType w:val="multilevel"/>
    <w:tmpl w:val="0000000D"/>
    <w:lvl w:ilvl="0">
      <w:start w:val="1"/>
      <w:numFmt w:val="upperRoman"/>
      <w:lvlText w:val="%1.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4">
    <w:nsid w:val="00000012"/>
    <w:multiLevelType w:val="multilevel"/>
    <w:tmpl w:val="0B8087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5">
    <w:nsid w:val="02327710"/>
    <w:multiLevelType w:val="hybridMultilevel"/>
    <w:tmpl w:val="E1D0631E"/>
    <w:lvl w:ilvl="0" w:tplc="57BE8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B06D5"/>
    <w:multiLevelType w:val="hybridMultilevel"/>
    <w:tmpl w:val="970ADF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3B2E53"/>
    <w:multiLevelType w:val="multilevel"/>
    <w:tmpl w:val="A80C3EC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8">
    <w:nsid w:val="2AF24E7D"/>
    <w:multiLevelType w:val="hybridMultilevel"/>
    <w:tmpl w:val="A2948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1131AD"/>
    <w:multiLevelType w:val="multilevel"/>
    <w:tmpl w:val="0D42FD4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b w:val="0"/>
        <w:bCs/>
        <w:kern w:val="22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0">
    <w:nsid w:val="41E76C9E"/>
    <w:multiLevelType w:val="hybridMultilevel"/>
    <w:tmpl w:val="8DA8C6BE"/>
    <w:lvl w:ilvl="0" w:tplc="57BE8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2167F2C"/>
    <w:multiLevelType w:val="hybridMultilevel"/>
    <w:tmpl w:val="29B2E9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57BE89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236612"/>
    <w:multiLevelType w:val="hybridMultilevel"/>
    <w:tmpl w:val="13B457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916C4C"/>
    <w:multiLevelType w:val="hybridMultilevel"/>
    <w:tmpl w:val="D7A4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603B90"/>
    <w:multiLevelType w:val="hybridMultilevel"/>
    <w:tmpl w:val="A82899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C783ACB"/>
    <w:multiLevelType w:val="hybridMultilevel"/>
    <w:tmpl w:val="91B658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A354E5"/>
    <w:multiLevelType w:val="multilevel"/>
    <w:tmpl w:val="16E6E5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7">
    <w:nsid w:val="67811989"/>
    <w:multiLevelType w:val="hybridMultilevel"/>
    <w:tmpl w:val="8CE81B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890E2A"/>
    <w:multiLevelType w:val="hybridMultilevel"/>
    <w:tmpl w:val="3248662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5FC2739"/>
    <w:multiLevelType w:val="hybridMultilevel"/>
    <w:tmpl w:val="DB6A17A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0">
    <w:nsid w:val="78454F78"/>
    <w:multiLevelType w:val="multilevel"/>
    <w:tmpl w:val="00000007"/>
    <w:lvl w:ilvl="0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21">
    <w:nsid w:val="7F924BBC"/>
    <w:multiLevelType w:val="multilevel"/>
    <w:tmpl w:val="49F6BBBC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13"/>
  </w:num>
  <w:num w:numId="8">
    <w:abstractNumId w:val="8"/>
  </w:num>
  <w:num w:numId="9">
    <w:abstractNumId w:val="14"/>
  </w:num>
  <w:num w:numId="10">
    <w:abstractNumId w:val="20"/>
  </w:num>
  <w:num w:numId="11">
    <w:abstractNumId w:val="9"/>
  </w:num>
  <w:num w:numId="12">
    <w:abstractNumId w:val="12"/>
  </w:num>
  <w:num w:numId="13">
    <w:abstractNumId w:val="18"/>
  </w:num>
  <w:num w:numId="14">
    <w:abstractNumId w:val="21"/>
  </w:num>
  <w:num w:numId="15">
    <w:abstractNumId w:val="17"/>
  </w:num>
  <w:num w:numId="16">
    <w:abstractNumId w:val="5"/>
  </w:num>
  <w:num w:numId="17">
    <w:abstractNumId w:val="15"/>
  </w:num>
  <w:num w:numId="18">
    <w:abstractNumId w:val="11"/>
  </w:num>
  <w:num w:numId="19">
    <w:abstractNumId w:val="6"/>
  </w:num>
  <w:num w:numId="20">
    <w:abstractNumId w:val="10"/>
  </w:num>
  <w:num w:numId="21">
    <w:abstractNumId w:val="7"/>
  </w:num>
  <w:num w:numId="22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F3"/>
    <w:rsid w:val="00032F5F"/>
    <w:rsid w:val="00066AF5"/>
    <w:rsid w:val="00074FCF"/>
    <w:rsid w:val="00096B85"/>
    <w:rsid w:val="000971D1"/>
    <w:rsid w:val="000972ED"/>
    <w:rsid w:val="00141F99"/>
    <w:rsid w:val="0019296C"/>
    <w:rsid w:val="0019349E"/>
    <w:rsid w:val="0027534D"/>
    <w:rsid w:val="002B3093"/>
    <w:rsid w:val="002E4965"/>
    <w:rsid w:val="002E7D7D"/>
    <w:rsid w:val="003345BE"/>
    <w:rsid w:val="0034453F"/>
    <w:rsid w:val="003B060A"/>
    <w:rsid w:val="004438A6"/>
    <w:rsid w:val="00511F62"/>
    <w:rsid w:val="005319EB"/>
    <w:rsid w:val="005533AA"/>
    <w:rsid w:val="005F31E9"/>
    <w:rsid w:val="006206B2"/>
    <w:rsid w:val="006548BD"/>
    <w:rsid w:val="00667B8D"/>
    <w:rsid w:val="006C1C16"/>
    <w:rsid w:val="00737E3D"/>
    <w:rsid w:val="007403C5"/>
    <w:rsid w:val="00790234"/>
    <w:rsid w:val="0081714E"/>
    <w:rsid w:val="0083180A"/>
    <w:rsid w:val="008669F0"/>
    <w:rsid w:val="008A7F2B"/>
    <w:rsid w:val="008B1920"/>
    <w:rsid w:val="008F755C"/>
    <w:rsid w:val="009201C8"/>
    <w:rsid w:val="00947A69"/>
    <w:rsid w:val="009951F3"/>
    <w:rsid w:val="009B4C37"/>
    <w:rsid w:val="009E4887"/>
    <w:rsid w:val="00A54F46"/>
    <w:rsid w:val="00A6031F"/>
    <w:rsid w:val="00AF710C"/>
    <w:rsid w:val="00B13BF1"/>
    <w:rsid w:val="00B93C05"/>
    <w:rsid w:val="00BC3E92"/>
    <w:rsid w:val="00BC3F12"/>
    <w:rsid w:val="00BD3AE5"/>
    <w:rsid w:val="00C20F34"/>
    <w:rsid w:val="00C9605C"/>
    <w:rsid w:val="00CF21C5"/>
    <w:rsid w:val="00CF6BF3"/>
    <w:rsid w:val="00D80056"/>
    <w:rsid w:val="00DE41D5"/>
    <w:rsid w:val="00E10A6A"/>
    <w:rsid w:val="00E465C0"/>
    <w:rsid w:val="00E47105"/>
    <w:rsid w:val="00E83072"/>
    <w:rsid w:val="00EA0E61"/>
    <w:rsid w:val="00EB42E8"/>
    <w:rsid w:val="00F359D8"/>
    <w:rsid w:val="00F4228C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czeinternetowe">
    <w:name w:val="Ł3fą3fcze internetowe"/>
    <w:basedOn w:val="Domylnaczcionkaakapitu"/>
    <w:uiPriority w:val="99"/>
    <w:rPr>
      <w:rFonts w:eastAsia="Times New Roman" w:cs="Times New Roman"/>
      <w:color w:val="0000FF"/>
      <w:u w:val="single"/>
    </w:rPr>
  </w:style>
  <w:style w:type="character" w:customStyle="1" w:styleId="Akapitzlist3fZnak">
    <w:name w:val="Akapit z listą3f Znak"/>
    <w:aliases w:val="1 Akapit z listą3f Znak,Wypunktowanie 1 Znak,Akapit z listą3f2 Znak,Numerowanie Znak,Akapit z listą3f BS Znak,Kolorowa lista —97 akcent 11 Znak"/>
    <w:basedOn w:val="Domylnaczcionkaakapitu"/>
    <w:uiPriority w:val="99"/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  <w:b/>
    </w:rPr>
  </w:style>
  <w:style w:type="character" w:customStyle="1" w:styleId="ListLabel2">
    <w:name w:val="ListLabel 2"/>
    <w:uiPriority w:val="99"/>
    <w:rPr>
      <w:rFonts w:eastAsia="Times New Roman"/>
      <w:b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  <w:b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  <w:b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Calibri"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  <w:b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  <w:b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ascii="Calibri" w:eastAsia="Times New Roman"/>
      <w:b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paragraph" w:styleId="Akapitzlist">
    <w:name w:val="List Paragraph"/>
    <w:aliases w:val="1 Akapit z listą3f,Wypunktowanie 1,Akapit z listą3f2,Numerowanie,Akapit z listą3f BS,Kolorowa lista —97 akcent 11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Tahoma" w:hAnsi="Tahoma" w:cs="Tahoma"/>
      <w:kern w:val="1"/>
      <w:sz w:val="16"/>
      <w:szCs w:val="16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F359D8"/>
    <w:rPr>
      <w:rFonts w:cs="Times New Roman"/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349E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rFonts w:eastAsiaTheme="minorEastAsia" w:hAnsi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9349E"/>
    <w:rPr>
      <w:rFonts w:ascii="Calibri" w:hAnsi="Calibri" w:cs="Times New Roman"/>
      <w:lang w:val="x-none" w:eastAsia="en-US"/>
    </w:rPr>
  </w:style>
  <w:style w:type="table" w:styleId="Tabela-Siatka">
    <w:name w:val="Table Grid"/>
    <w:basedOn w:val="Standardowy"/>
    <w:uiPriority w:val="59"/>
    <w:rsid w:val="0019349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349E"/>
    <w:pPr>
      <w:spacing w:after="0" w:line="240" w:lineRule="auto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349E"/>
    <w:rPr>
      <w:rFonts w:ascii="Calibri" w:eastAsia="Times New Roman" w:hAnsi="Liberation Serif" w:cs="Calibri"/>
      <w:kern w:val="1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czeinternetowe">
    <w:name w:val="Ł3fą3fcze internetowe"/>
    <w:basedOn w:val="Domylnaczcionkaakapitu"/>
    <w:uiPriority w:val="99"/>
    <w:rPr>
      <w:rFonts w:eastAsia="Times New Roman" w:cs="Times New Roman"/>
      <w:color w:val="0000FF"/>
      <w:u w:val="single"/>
    </w:rPr>
  </w:style>
  <w:style w:type="character" w:customStyle="1" w:styleId="Akapitzlist3fZnak">
    <w:name w:val="Akapit z listą3f Znak"/>
    <w:aliases w:val="1 Akapit z listą3f Znak,Wypunktowanie 1 Znak,Akapit z listą3f2 Znak,Numerowanie Znak,Akapit z listą3f BS Znak,Kolorowa lista —97 akcent 11 Znak"/>
    <w:basedOn w:val="Domylnaczcionkaakapitu"/>
    <w:uiPriority w:val="99"/>
    <w:rPr>
      <w:rFonts w:eastAsia="Times New Roman" w:cs="Times New Roman"/>
    </w:rPr>
  </w:style>
  <w:style w:type="character" w:styleId="Odwoaniedokomentarza">
    <w:name w:val="annotation reference"/>
    <w:basedOn w:val="Domylnaczcionkaakapitu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uiPriority w:val="99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  <w:b/>
    </w:rPr>
  </w:style>
  <w:style w:type="character" w:customStyle="1" w:styleId="ListLabel2">
    <w:name w:val="ListLabel 2"/>
    <w:uiPriority w:val="99"/>
    <w:rPr>
      <w:rFonts w:eastAsia="Times New Roman"/>
      <w:b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  <w:b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  <w:b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Calibri"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  <w:b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  <w:b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ascii="Calibri" w:eastAsia="Times New Roman"/>
      <w:b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kern w:val="1"/>
      <w:lang w:eastAsia="en-US"/>
    </w:rPr>
  </w:style>
  <w:style w:type="paragraph" w:styleId="Akapitzlist">
    <w:name w:val="List Paragraph"/>
    <w:aliases w:val="1 Akapit z listą3f,Wypunktowanie 1,Akapit z listą3f2,Numerowanie,Akapit z listą3f BS,Kolorowa lista —97 akcent 11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Pr>
      <w:rFonts w:ascii="Tahoma" w:hAnsi="Tahoma" w:cs="Tahoma"/>
      <w:kern w:val="1"/>
      <w:sz w:val="16"/>
      <w:szCs w:val="16"/>
      <w:lang w:val="x-none" w:eastAsia="en-US"/>
    </w:rPr>
  </w:style>
  <w:style w:type="character" w:styleId="Hipercze">
    <w:name w:val="Hyperlink"/>
    <w:basedOn w:val="Domylnaczcionkaakapitu"/>
    <w:uiPriority w:val="99"/>
    <w:unhideWhenUsed/>
    <w:rsid w:val="00F359D8"/>
    <w:rPr>
      <w:rFonts w:cs="Times New Roman"/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349E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rFonts w:eastAsiaTheme="minorEastAsia" w:hAnsi="Calibri" w:cs="Times New Roman"/>
      <w:kern w:val="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9349E"/>
    <w:rPr>
      <w:rFonts w:ascii="Calibri" w:hAnsi="Calibri" w:cs="Times New Roman"/>
      <w:lang w:val="x-none" w:eastAsia="en-US"/>
    </w:rPr>
  </w:style>
  <w:style w:type="table" w:styleId="Tabela-Siatka">
    <w:name w:val="Table Grid"/>
    <w:basedOn w:val="Standardowy"/>
    <w:uiPriority w:val="59"/>
    <w:rsid w:val="0019349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349E"/>
    <w:pPr>
      <w:spacing w:after="0" w:line="240" w:lineRule="auto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349E"/>
    <w:rPr>
      <w:rFonts w:ascii="Calibri" w:eastAsia="Times New Roman" w:hAnsi="Liberation Serif" w:cs="Calibri"/>
      <w:kern w:val="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9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ksperci@dobrypomys&#322;.org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nowacje.org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zt.org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nvest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mart.gov.pl/pl/specjalizacje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5B96-4EF6-4FEA-9713-A898149B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3116</Words>
  <Characters>18696</Characters>
  <Application>Microsoft Office Word</Application>
  <DocSecurity>0</DocSecurity>
  <Lines>155</Lines>
  <Paragraphs>43</Paragraphs>
  <ScaleCrop>false</ScaleCrop>
  <Company>Ministerstwo Gospodarki</Company>
  <LinksUpToDate>false</LinksUpToDate>
  <CharactersWithSpaces>21769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Katarzyna Michalska</cp:lastModifiedBy>
  <cp:revision>2</cp:revision>
  <cp:lastPrinted>2015-07-02T12:18:00Z</cp:lastPrinted>
  <dcterms:created xsi:type="dcterms:W3CDTF">2017-11-02T07:49:00Z</dcterms:created>
  <dcterms:modified xsi:type="dcterms:W3CDTF">2017-11-02T07:49:00Z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e4972-a3b7-4d51-a933-10309688c2b7_Enabled">
    <vt:lpwstr>True</vt:lpwstr>
  </property>
  <property fmtid="{D5CDD505-2E9C-101B-9397-08002B2CF9AE}" pid="3" name="MSIP_Label_6a7e4972-a3b7-4d51-a933-10309688c2b7_SiteId">
    <vt:lpwstr>0d2b6bbb-a69c-41e8-9ef1-c035572bd00e</vt:lpwstr>
  </property>
  <property fmtid="{D5CDD505-2E9C-101B-9397-08002B2CF9AE}" pid="4" name="MSIP_Label_6a7e4972-a3b7-4d51-a933-10309688c2b7_Ref">
    <vt:lpwstr>https://api.informationprotection.azure.com/api/0d2b6bbb-a69c-41e8-9ef1-c035572bd00e</vt:lpwstr>
  </property>
  <property fmtid="{D5CDD505-2E9C-101B-9397-08002B2CF9AE}" pid="5" name="MSIP_Label_6a7e4972-a3b7-4d51-a933-10309688c2b7_Owner">
    <vt:lpwstr>edyta.kracon@pfr.pl</vt:lpwstr>
  </property>
  <property fmtid="{D5CDD505-2E9C-101B-9397-08002B2CF9AE}" pid="6" name="MSIP_Label_6a7e4972-a3b7-4d51-a933-10309688c2b7_SetDate">
    <vt:lpwstr>2017-10-30T14:41:03.7330092+01:00</vt:lpwstr>
  </property>
  <property fmtid="{D5CDD505-2E9C-101B-9397-08002B2CF9AE}" pid="7" name="MSIP_Label_6a7e4972-a3b7-4d51-a933-10309688c2b7_Name">
    <vt:lpwstr>Publiczne</vt:lpwstr>
  </property>
  <property fmtid="{D5CDD505-2E9C-101B-9397-08002B2CF9AE}" pid="8" name="MSIP_Label_6a7e4972-a3b7-4d51-a933-10309688c2b7_Application">
    <vt:lpwstr>Microsoft Azure Information Protection</vt:lpwstr>
  </property>
  <property fmtid="{D5CDD505-2E9C-101B-9397-08002B2CF9AE}" pid="9" name="MSIP_Label_6a7e4972-a3b7-4d51-a933-10309688c2b7_Extended_MSFT_Method">
    <vt:lpwstr>Automatic</vt:lpwstr>
  </property>
  <property fmtid="{D5CDD505-2E9C-101B-9397-08002B2CF9AE}" pid="10" name="Sensitivity">
    <vt:lpwstr>Publiczne</vt:lpwstr>
  </property>
</Properties>
</file>